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8F0C" w14:textId="77777777" w:rsidR="00326E0D" w:rsidRPr="000A7934" w:rsidRDefault="00B2782E" w:rsidP="00B2782E">
      <w:pPr>
        <w:jc w:val="center"/>
        <w:rPr>
          <w:b/>
          <w:color w:val="C00000"/>
          <w:sz w:val="36"/>
          <w:szCs w:val="36"/>
        </w:rPr>
      </w:pPr>
      <w:r w:rsidRPr="000A7934">
        <w:rPr>
          <w:b/>
          <w:color w:val="C00000"/>
          <w:sz w:val="36"/>
          <w:szCs w:val="36"/>
        </w:rPr>
        <w:t>FORMATION DE REFERENTS PDES</w:t>
      </w:r>
    </w:p>
    <w:p w14:paraId="21699C59" w14:textId="77777777" w:rsidR="00B2782E" w:rsidRDefault="00B2782E" w:rsidP="00B2782E">
      <w:pPr>
        <w:jc w:val="center"/>
        <w:rPr>
          <w:sz w:val="36"/>
          <w:szCs w:val="36"/>
        </w:rPr>
      </w:pPr>
      <w:r>
        <w:rPr>
          <w:sz w:val="36"/>
          <w:szCs w:val="36"/>
        </w:rPr>
        <w:t>Nouvelle proposition de déroulé</w:t>
      </w:r>
    </w:p>
    <w:p w14:paraId="6B9FC5C4" w14:textId="77777777" w:rsidR="00B2782E" w:rsidRPr="00B2782E" w:rsidRDefault="00B2782E" w:rsidP="00B2782E">
      <w:pPr>
        <w:jc w:val="center"/>
        <w:rPr>
          <w:sz w:val="28"/>
          <w:szCs w:val="28"/>
        </w:rPr>
      </w:pPr>
      <w:r w:rsidRPr="00B2782E">
        <w:rPr>
          <w:sz w:val="28"/>
          <w:szCs w:val="28"/>
        </w:rPr>
        <w:t xml:space="preserve">Document de travail – </w:t>
      </w:r>
      <w:r w:rsidR="00C72212">
        <w:rPr>
          <w:sz w:val="28"/>
          <w:szCs w:val="28"/>
        </w:rPr>
        <w:t>9</w:t>
      </w:r>
      <w:r w:rsidRPr="00B2782E">
        <w:rPr>
          <w:sz w:val="28"/>
          <w:szCs w:val="28"/>
        </w:rPr>
        <w:t xml:space="preserve"> </w:t>
      </w:r>
      <w:r w:rsidR="00C72212">
        <w:rPr>
          <w:sz w:val="28"/>
          <w:szCs w:val="28"/>
        </w:rPr>
        <w:t>septembre</w:t>
      </w:r>
      <w:r w:rsidRPr="00B2782E">
        <w:rPr>
          <w:sz w:val="28"/>
          <w:szCs w:val="28"/>
        </w:rPr>
        <w:t xml:space="preserve"> 2020</w:t>
      </w:r>
    </w:p>
    <w:p w14:paraId="6B72DC53" w14:textId="77777777" w:rsidR="00B2782E" w:rsidRDefault="00B2782E"/>
    <w:p w14:paraId="307B3A30" w14:textId="77777777" w:rsidR="00B2782E" w:rsidRDefault="00B2782E"/>
    <w:p w14:paraId="3B5A810D" w14:textId="27016DC1" w:rsidR="00115F2F" w:rsidRDefault="00115F2F"/>
    <w:p w14:paraId="7CDC4ED7" w14:textId="77777777" w:rsidR="005E3BFC" w:rsidRDefault="005E3BFC"/>
    <w:p w14:paraId="1A15AED0" w14:textId="77777777" w:rsidR="00115F2F" w:rsidRDefault="00115F2F"/>
    <w:p w14:paraId="4CE018EF" w14:textId="77777777" w:rsidR="00B2782E" w:rsidRPr="000A7934" w:rsidRDefault="00B2782E">
      <w:pPr>
        <w:rPr>
          <w:b/>
          <w:color w:val="C00000"/>
          <w:sz w:val="24"/>
          <w:szCs w:val="24"/>
        </w:rPr>
      </w:pPr>
      <w:r w:rsidRPr="000A7934">
        <w:rPr>
          <w:b/>
          <w:color w:val="C00000"/>
          <w:sz w:val="24"/>
          <w:szCs w:val="24"/>
        </w:rPr>
        <w:t>Rappel du Contexte</w:t>
      </w:r>
    </w:p>
    <w:p w14:paraId="4C296B94" w14:textId="06F38813" w:rsidR="00B2782E" w:rsidRDefault="00B2782E" w:rsidP="00C72212">
      <w:pPr>
        <w:jc w:val="both"/>
      </w:pPr>
      <w:r>
        <w:t>Initial</w:t>
      </w:r>
      <w:r w:rsidRPr="005E3BFC">
        <w:t xml:space="preserve">ement </w:t>
      </w:r>
      <w:r w:rsidR="0096088D" w:rsidRPr="005E3BFC">
        <w:t xml:space="preserve">prévu </w:t>
      </w:r>
      <w:r w:rsidRPr="005E3BFC">
        <w:t xml:space="preserve">pour avoir </w:t>
      </w:r>
      <w:r>
        <w:t>lieu sur une demi-journée en présentiel</w:t>
      </w:r>
      <w:r w:rsidR="000A7934">
        <w:t xml:space="preserve"> et</w:t>
      </w:r>
      <w:r>
        <w:t xml:space="preserve"> par district, le déroulé des formations a été revu pour s’adapter au contexte sanitaire. </w:t>
      </w:r>
    </w:p>
    <w:p w14:paraId="6C10F60A" w14:textId="77777777" w:rsidR="00B2782E" w:rsidRDefault="00B2782E" w:rsidP="00C72212">
      <w:pPr>
        <w:jc w:val="both"/>
      </w:pPr>
    </w:p>
    <w:p w14:paraId="61BBBF56" w14:textId="77777777" w:rsidR="000A7934" w:rsidRDefault="00B2782E" w:rsidP="00C72212">
      <w:pPr>
        <w:jc w:val="both"/>
      </w:pPr>
      <w:r>
        <w:t xml:space="preserve">Il est proposé de </w:t>
      </w:r>
      <w:r w:rsidR="000A7934">
        <w:t>découper la formation</w:t>
      </w:r>
      <w:r>
        <w:t xml:space="preserve"> en deux temps plus courts</w:t>
      </w:r>
      <w:r w:rsidR="000A7934">
        <w:t xml:space="preserve"> et</w:t>
      </w:r>
      <w:r>
        <w:t xml:space="preserve"> en visioconférence</w:t>
      </w:r>
      <w:r w:rsidR="000A7934">
        <w:t xml:space="preserve">. En parallèle, des ressources seront mises à disposition des référents mobilités de collèges. </w:t>
      </w:r>
    </w:p>
    <w:p w14:paraId="7AA8410C" w14:textId="77777777" w:rsidR="00B2782E" w:rsidRDefault="00B2782E"/>
    <w:p w14:paraId="23D45E66" w14:textId="77777777" w:rsidR="00115F2F" w:rsidRDefault="00115F2F">
      <w:r>
        <w:br w:type="page"/>
      </w:r>
    </w:p>
    <w:p w14:paraId="25363E68" w14:textId="77777777" w:rsidR="00B2782E" w:rsidRPr="00115F2F" w:rsidRDefault="00B2782E">
      <w:pPr>
        <w:rPr>
          <w:b/>
          <w:sz w:val="28"/>
          <w:szCs w:val="28"/>
        </w:rPr>
      </w:pPr>
      <w:r w:rsidRPr="00115F2F">
        <w:rPr>
          <w:b/>
          <w:sz w:val="28"/>
          <w:szCs w:val="28"/>
        </w:rPr>
        <w:lastRenderedPageBreak/>
        <w:t>1</w:t>
      </w:r>
      <w:r w:rsidRPr="00115F2F">
        <w:rPr>
          <w:b/>
          <w:sz w:val="28"/>
          <w:szCs w:val="28"/>
          <w:vertAlign w:val="superscript"/>
        </w:rPr>
        <w:t>er</w:t>
      </w:r>
      <w:r w:rsidRPr="00115F2F">
        <w:rPr>
          <w:b/>
          <w:sz w:val="28"/>
          <w:szCs w:val="28"/>
        </w:rPr>
        <w:t xml:space="preserve"> TEMPS </w:t>
      </w:r>
      <w:r w:rsidR="004D45B7">
        <w:rPr>
          <w:b/>
          <w:sz w:val="28"/>
          <w:szCs w:val="28"/>
        </w:rPr>
        <w:t>(15 et 16 Octobre 2020)</w:t>
      </w:r>
    </w:p>
    <w:p w14:paraId="2D04DCF8" w14:textId="77777777" w:rsidR="00B2782E" w:rsidRPr="00115F2F" w:rsidRDefault="00DA0B6F">
      <w:pPr>
        <w:rPr>
          <w:b/>
          <w:color w:val="C00000"/>
          <w:sz w:val="28"/>
          <w:szCs w:val="28"/>
        </w:rPr>
      </w:pPr>
      <w:r w:rsidRPr="00115F2F">
        <w:rPr>
          <w:b/>
          <w:color w:val="C00000"/>
          <w:sz w:val="28"/>
          <w:szCs w:val="28"/>
        </w:rPr>
        <w:t xml:space="preserve">LES PDES : CONTEXTE ET ENJEUX </w:t>
      </w:r>
    </w:p>
    <w:p w14:paraId="2E9DF0FC" w14:textId="77777777" w:rsidR="00DA0B6F" w:rsidRPr="00115F2F" w:rsidRDefault="00DA0B6F">
      <w:pPr>
        <w:rPr>
          <w:sz w:val="20"/>
        </w:rPr>
      </w:pPr>
      <w:r w:rsidRPr="00115F2F">
        <w:rPr>
          <w:sz w:val="20"/>
          <w:u w:val="single"/>
        </w:rPr>
        <w:t>Objectif </w:t>
      </w:r>
      <w:r w:rsidRPr="00115F2F">
        <w:rPr>
          <w:sz w:val="20"/>
        </w:rPr>
        <w:t xml:space="preserve">: </w:t>
      </w:r>
    </w:p>
    <w:p w14:paraId="7C32B3AF" w14:textId="77777777" w:rsidR="00DA0B6F" w:rsidRPr="00115F2F" w:rsidRDefault="00DA0B6F" w:rsidP="00C72212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115F2F">
        <w:rPr>
          <w:sz w:val="20"/>
        </w:rPr>
        <w:t xml:space="preserve">Présenter dans les grandes lignes les arguments en faveur de l’écomobilité, le contexte règlementaire qui encadre les PDES et expliquer la démarche en cours de labélisation par le Rectorat. </w:t>
      </w:r>
    </w:p>
    <w:p w14:paraId="40242CFF" w14:textId="77777777" w:rsidR="00DA0B6F" w:rsidRPr="00115F2F" w:rsidRDefault="00DA0B6F" w:rsidP="00C72212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115F2F">
        <w:rPr>
          <w:sz w:val="20"/>
        </w:rPr>
        <w:t xml:space="preserve">Cette partie introductive sera complétée par l’envoi d’un </w:t>
      </w:r>
      <w:r w:rsidRPr="00115F2F">
        <w:rPr>
          <w:b/>
          <w:sz w:val="20"/>
        </w:rPr>
        <w:t>kit du référent PDES</w:t>
      </w:r>
      <w:r w:rsidRPr="00115F2F">
        <w:rPr>
          <w:sz w:val="20"/>
        </w:rPr>
        <w:t xml:space="preserve"> qui contiendra les éléments utiles à sa compréhension et sa mise en œuvre. </w:t>
      </w:r>
    </w:p>
    <w:p w14:paraId="46DF062F" w14:textId="77777777" w:rsidR="00DA0B6F" w:rsidRPr="005E3BFC" w:rsidRDefault="00DA0B6F" w:rsidP="00C72212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115F2F">
        <w:rPr>
          <w:sz w:val="20"/>
        </w:rPr>
        <w:t xml:space="preserve">Il est proposé que les participants puissent poser leurs questions en ligne pendant l’intervention et que </w:t>
      </w:r>
      <w:r w:rsidRPr="005E3BFC">
        <w:rPr>
          <w:sz w:val="20"/>
        </w:rPr>
        <w:t>celles-ci alime</w:t>
      </w:r>
      <w:bookmarkStart w:id="0" w:name="_GoBack"/>
      <w:bookmarkEnd w:id="0"/>
      <w:r w:rsidRPr="005E3BFC">
        <w:rPr>
          <w:sz w:val="20"/>
        </w:rPr>
        <w:t>nteront le déroulé des rencontres suivantes.</w:t>
      </w:r>
    </w:p>
    <w:p w14:paraId="74FD00DA" w14:textId="77BC7A04" w:rsidR="00C72212" w:rsidRPr="005E3BFC" w:rsidRDefault="00C72212" w:rsidP="00C72212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5E3BFC">
        <w:rPr>
          <w:sz w:val="20"/>
        </w:rPr>
        <w:t>Tester les connaissances des référents et leur sensibilité aux questions relatives à l’ecomobilité</w:t>
      </w:r>
      <w:r w:rsidR="005E3BFC">
        <w:rPr>
          <w:sz w:val="20"/>
        </w:rPr>
        <w:t>.</w:t>
      </w:r>
    </w:p>
    <w:p w14:paraId="2916ABD9" w14:textId="77777777" w:rsidR="00B2782E" w:rsidRPr="00115F2F" w:rsidRDefault="00B2782E">
      <w:pPr>
        <w:rPr>
          <w:sz w:val="20"/>
        </w:rPr>
      </w:pPr>
      <w:r w:rsidRPr="005E3BFC">
        <w:rPr>
          <w:sz w:val="20"/>
          <w:u w:val="single"/>
        </w:rPr>
        <w:t>Format</w:t>
      </w:r>
      <w:r w:rsidRPr="005E3BFC">
        <w:rPr>
          <w:sz w:val="20"/>
        </w:rPr>
        <w:t> : visioconférence</w:t>
      </w:r>
    </w:p>
    <w:p w14:paraId="65CB7906" w14:textId="77777777" w:rsidR="00B2782E" w:rsidRPr="00115F2F" w:rsidRDefault="00B2782E">
      <w:pPr>
        <w:rPr>
          <w:sz w:val="20"/>
        </w:rPr>
      </w:pPr>
      <w:r w:rsidRPr="00115F2F">
        <w:rPr>
          <w:sz w:val="20"/>
          <w:u w:val="single"/>
        </w:rPr>
        <w:t>Durée</w:t>
      </w:r>
      <w:r w:rsidRPr="00115F2F">
        <w:rPr>
          <w:sz w:val="20"/>
        </w:rPr>
        <w:t xml:space="preserve"> : </w:t>
      </w:r>
      <w:r w:rsidR="00C72212" w:rsidRPr="00115F2F">
        <w:rPr>
          <w:sz w:val="20"/>
        </w:rPr>
        <w:t>2h</w:t>
      </w:r>
    </w:p>
    <w:p w14:paraId="49EEC92D" w14:textId="79176DAE" w:rsidR="00B2782E" w:rsidRPr="0096088D" w:rsidRDefault="00B2782E">
      <w:pPr>
        <w:rPr>
          <w:color w:val="538135" w:themeColor="accent6" w:themeShade="BF"/>
          <w:sz w:val="20"/>
        </w:rPr>
      </w:pPr>
      <w:r w:rsidRPr="00115F2F">
        <w:rPr>
          <w:sz w:val="20"/>
          <w:u w:val="single"/>
        </w:rPr>
        <w:t>Public</w:t>
      </w:r>
      <w:r w:rsidRPr="00115F2F">
        <w:rPr>
          <w:sz w:val="20"/>
        </w:rPr>
        <w:t xml:space="preserve"> : l’ensemble des collèges des 4 </w:t>
      </w:r>
      <w:r w:rsidR="005E3BFC">
        <w:rPr>
          <w:sz w:val="20"/>
        </w:rPr>
        <w:t>bassins</w:t>
      </w:r>
      <w:r w:rsidRPr="00115F2F">
        <w:rPr>
          <w:sz w:val="20"/>
        </w:rPr>
        <w:t xml:space="preserve"> concernés par la 1</w:t>
      </w:r>
      <w:r w:rsidRPr="00115F2F">
        <w:rPr>
          <w:sz w:val="20"/>
          <w:vertAlign w:val="superscript"/>
        </w:rPr>
        <w:t>ère</w:t>
      </w:r>
      <w:r w:rsidR="005E3BFC">
        <w:rPr>
          <w:sz w:val="20"/>
        </w:rPr>
        <w:t xml:space="preserve"> année </w:t>
      </w:r>
      <w:r w:rsidR="005E3BFC" w:rsidRPr="005E3BFC">
        <w:rPr>
          <w:sz w:val="20"/>
        </w:rPr>
        <w:t>d’accompagnement. U</w:t>
      </w:r>
      <w:r w:rsidR="0096088D" w:rsidRPr="005E3BFC">
        <w:rPr>
          <w:sz w:val="20"/>
        </w:rPr>
        <w:t xml:space="preserve">ne formation par bassin, soit 4 </w:t>
      </w:r>
      <w:r w:rsidR="005E3BFC" w:rsidRPr="005E3BFC">
        <w:rPr>
          <w:sz w:val="20"/>
        </w:rPr>
        <w:t xml:space="preserve">formations </w:t>
      </w:r>
      <w:r w:rsidR="0096088D" w:rsidRPr="005E3BFC">
        <w:rPr>
          <w:sz w:val="20"/>
        </w:rPr>
        <w:t>en tout</w:t>
      </w:r>
      <w:r w:rsidR="005E3BFC" w:rsidRPr="005E3BFC">
        <w:rPr>
          <w:sz w:val="20"/>
        </w:rPr>
        <w:t>.</w:t>
      </w:r>
    </w:p>
    <w:p w14:paraId="68A88FB3" w14:textId="40364EA8" w:rsidR="00B2782E" w:rsidRPr="00115F2F" w:rsidRDefault="00B2782E">
      <w:pPr>
        <w:rPr>
          <w:sz w:val="20"/>
        </w:rPr>
      </w:pPr>
      <w:r w:rsidRPr="00115F2F">
        <w:rPr>
          <w:sz w:val="20"/>
        </w:rPr>
        <w:t xml:space="preserve">Cette visioconférence </w:t>
      </w:r>
      <w:r w:rsidR="005E3BFC">
        <w:rPr>
          <w:sz w:val="20"/>
        </w:rPr>
        <w:t xml:space="preserve">sera (si possible) enregistrée pour être partagée aux services civiques par exemple. </w:t>
      </w:r>
    </w:p>
    <w:p w14:paraId="259DA364" w14:textId="77777777" w:rsidR="00115F2F" w:rsidRDefault="00115F2F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944"/>
        <w:gridCol w:w="5098"/>
      </w:tblGrid>
      <w:tr w:rsidR="00E819C4" w:rsidRPr="00115F2F" w14:paraId="339DAF49" w14:textId="77777777" w:rsidTr="00462B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91F33E" w14:textId="77777777" w:rsidR="00E819C4" w:rsidRPr="00115F2F" w:rsidRDefault="00E819C4" w:rsidP="00462B62">
            <w:pPr>
              <w:rPr>
                <w:b/>
                <w:i/>
                <w:sz w:val="20"/>
              </w:rPr>
            </w:pPr>
            <w:r w:rsidRPr="00115F2F">
              <w:rPr>
                <w:b/>
                <w:i/>
                <w:sz w:val="20"/>
              </w:rPr>
              <w:t xml:space="preserve">Thème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2D690B" w14:textId="77777777" w:rsidR="00E819C4" w:rsidRPr="00115F2F" w:rsidRDefault="00E819C4" w:rsidP="00462B62">
            <w:pPr>
              <w:rPr>
                <w:b/>
                <w:i/>
                <w:sz w:val="20"/>
              </w:rPr>
            </w:pPr>
            <w:r w:rsidRPr="00115F2F">
              <w:rPr>
                <w:b/>
                <w:i/>
                <w:sz w:val="20"/>
              </w:rPr>
              <w:t xml:space="preserve">Durée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E238476" w14:textId="77777777" w:rsidR="00E819C4" w:rsidRPr="00115F2F" w:rsidRDefault="00E819C4" w:rsidP="00462B62">
            <w:pPr>
              <w:rPr>
                <w:b/>
                <w:i/>
                <w:sz w:val="20"/>
              </w:rPr>
            </w:pPr>
            <w:r w:rsidRPr="00115F2F">
              <w:rPr>
                <w:b/>
                <w:i/>
                <w:sz w:val="20"/>
              </w:rPr>
              <w:t xml:space="preserve">Contenu </w:t>
            </w:r>
          </w:p>
        </w:tc>
      </w:tr>
      <w:tr w:rsidR="00B2782E" w:rsidRPr="00115F2F" w14:paraId="08894E5A" w14:textId="77777777" w:rsidTr="00B2782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4648" w14:textId="77777777" w:rsidR="00B2782E" w:rsidRPr="00115F2F" w:rsidRDefault="00DA0B6F">
            <w:pPr>
              <w:rPr>
                <w:b/>
                <w:sz w:val="20"/>
              </w:rPr>
            </w:pPr>
            <w:r w:rsidRPr="00115F2F">
              <w:rPr>
                <w:b/>
                <w:sz w:val="20"/>
              </w:rPr>
              <w:t>Ecomobilité et PDES </w:t>
            </w:r>
            <w:r w:rsidR="00B2782E" w:rsidRPr="00115F2F">
              <w:rPr>
                <w:b/>
                <w:sz w:val="20"/>
              </w:rPr>
              <w:t xml:space="preserve">éléments de contexte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0BEC" w14:textId="77777777" w:rsidR="00B2782E" w:rsidRPr="00115F2F" w:rsidRDefault="002A1459">
            <w:pPr>
              <w:rPr>
                <w:sz w:val="20"/>
              </w:rPr>
            </w:pPr>
            <w:r w:rsidRPr="00115F2F">
              <w:rPr>
                <w:sz w:val="20"/>
              </w:rPr>
              <w:t>30</w:t>
            </w:r>
            <w:r w:rsidR="00B2782E" w:rsidRPr="00115F2F">
              <w:rPr>
                <w:sz w:val="20"/>
              </w:rPr>
              <w:t xml:space="preserve"> min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FC9" w14:textId="77777777" w:rsidR="00B2782E" w:rsidRPr="00115F2F" w:rsidRDefault="00B2782E" w:rsidP="00462B62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115F2F">
              <w:rPr>
                <w:sz w:val="20"/>
              </w:rPr>
              <w:t>Règlementation PPA</w:t>
            </w:r>
          </w:p>
          <w:p w14:paraId="0AE47006" w14:textId="77777777" w:rsidR="00B2782E" w:rsidRPr="00115F2F" w:rsidRDefault="00B2782E" w:rsidP="00462B62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115F2F">
              <w:rPr>
                <w:sz w:val="20"/>
              </w:rPr>
              <w:t>Définition d’un PDES</w:t>
            </w:r>
            <w:r w:rsidR="002A1459" w:rsidRPr="00115F2F">
              <w:rPr>
                <w:sz w:val="20"/>
              </w:rPr>
              <w:t xml:space="preserve"> </w:t>
            </w:r>
          </w:p>
          <w:p w14:paraId="78AA4D06" w14:textId="77777777" w:rsidR="002A1459" w:rsidRPr="00115F2F" w:rsidRDefault="002A1459" w:rsidP="002A1459">
            <w:pPr>
              <w:pStyle w:val="Paragraphedeliste"/>
              <w:spacing w:line="240" w:lineRule="auto"/>
              <w:rPr>
                <w:i/>
                <w:sz w:val="20"/>
              </w:rPr>
            </w:pPr>
            <w:r w:rsidRPr="00115F2F">
              <w:rPr>
                <w:i/>
                <w:sz w:val="20"/>
              </w:rPr>
              <w:t xml:space="preserve">Diffusion d’une courte vidéo belge sur les Plans de déplacements scolaires (2’30): </w:t>
            </w:r>
            <w:hyperlink r:id="rId7" w:history="1">
              <w:r w:rsidRPr="00115F2F">
                <w:rPr>
                  <w:rStyle w:val="Lienhypertexte"/>
                  <w:i/>
                  <w:sz w:val="20"/>
                </w:rPr>
                <w:t>https://mobilite-mobiliteit.brussels/fr/pds</w:t>
              </w:r>
            </w:hyperlink>
            <w:r w:rsidRPr="00115F2F">
              <w:rPr>
                <w:i/>
                <w:sz w:val="20"/>
              </w:rPr>
              <w:t xml:space="preserve"> </w:t>
            </w:r>
          </w:p>
          <w:p w14:paraId="3859DDE2" w14:textId="77777777" w:rsidR="002A1459" w:rsidRPr="00115F2F" w:rsidRDefault="002A1459" w:rsidP="002A145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115F2F">
              <w:rPr>
                <w:sz w:val="20"/>
              </w:rPr>
              <w:t xml:space="preserve">Argumentaire en faveur de l’écomobilité </w:t>
            </w:r>
          </w:p>
          <w:p w14:paraId="6AA206EF" w14:textId="3161A14F" w:rsidR="00B2782E" w:rsidRPr="00115F2F" w:rsidRDefault="00B2782E" w:rsidP="00462B62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115F2F">
              <w:rPr>
                <w:sz w:val="20"/>
              </w:rPr>
              <w:t>La prise en compte des PDES par le Rectorat (démarche de labélisation</w:t>
            </w:r>
            <w:r w:rsidR="0096088D">
              <w:rPr>
                <w:sz w:val="20"/>
              </w:rPr>
              <w:t>)</w:t>
            </w:r>
          </w:p>
          <w:p w14:paraId="64F0E4E0" w14:textId="77777777" w:rsidR="00B2782E" w:rsidRPr="00115F2F" w:rsidRDefault="00B2782E">
            <w:pPr>
              <w:pStyle w:val="Paragraphedeliste"/>
              <w:spacing w:line="240" w:lineRule="auto"/>
              <w:rPr>
                <w:sz w:val="20"/>
              </w:rPr>
            </w:pPr>
          </w:p>
        </w:tc>
      </w:tr>
      <w:tr w:rsidR="00B2782E" w:rsidRPr="00115F2F" w14:paraId="4EC381D1" w14:textId="77777777" w:rsidTr="005E3B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9888" w14:textId="77777777" w:rsidR="00B2782E" w:rsidRPr="005E3BFC" w:rsidRDefault="00B2782E">
            <w:pPr>
              <w:rPr>
                <w:b/>
                <w:sz w:val="20"/>
              </w:rPr>
            </w:pPr>
            <w:r w:rsidRPr="005E3BFC">
              <w:rPr>
                <w:b/>
                <w:sz w:val="20"/>
              </w:rPr>
              <w:t xml:space="preserve">Méthodologie PDES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57F9" w14:textId="77777777" w:rsidR="00B2782E" w:rsidRPr="005E3BFC" w:rsidRDefault="002A1459">
            <w:pPr>
              <w:rPr>
                <w:sz w:val="20"/>
              </w:rPr>
            </w:pPr>
            <w:r w:rsidRPr="005E3BFC">
              <w:rPr>
                <w:sz w:val="20"/>
              </w:rPr>
              <w:t>60</w:t>
            </w:r>
            <w:r w:rsidR="00DA0B6F" w:rsidRPr="005E3BFC">
              <w:rPr>
                <w:sz w:val="20"/>
              </w:rPr>
              <w:t xml:space="preserve"> min</w:t>
            </w:r>
            <w:r w:rsidR="00B2782E" w:rsidRPr="005E3BFC">
              <w:rPr>
                <w:sz w:val="20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B8A3" w14:textId="77777777" w:rsidR="00B2782E" w:rsidRPr="005E3BFC" w:rsidRDefault="00B2782E">
            <w:pPr>
              <w:rPr>
                <w:sz w:val="20"/>
              </w:rPr>
            </w:pPr>
            <w:r w:rsidRPr="005E3BFC">
              <w:rPr>
                <w:sz w:val="20"/>
              </w:rPr>
              <w:t>Pr</w:t>
            </w:r>
            <w:r w:rsidR="002A1459" w:rsidRPr="005E3BFC">
              <w:rPr>
                <w:sz w:val="20"/>
              </w:rPr>
              <w:t>ésentation par étapes et lien vers la b</w:t>
            </w:r>
            <w:r w:rsidR="00027791" w:rsidRPr="005E3BFC">
              <w:rPr>
                <w:sz w:val="20"/>
              </w:rPr>
              <w:t>oîte à outils / kit du référent</w:t>
            </w:r>
          </w:p>
          <w:p w14:paraId="3619FC23" w14:textId="77777777" w:rsidR="003F5230" w:rsidRPr="005E3BFC" w:rsidRDefault="00B2782E" w:rsidP="002A145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5E3BFC">
              <w:rPr>
                <w:sz w:val="20"/>
              </w:rPr>
              <w:t xml:space="preserve">Constitution du </w:t>
            </w:r>
            <w:r w:rsidRPr="005E3BFC">
              <w:rPr>
                <w:b/>
                <w:sz w:val="20"/>
              </w:rPr>
              <w:t>comité de pilotage</w:t>
            </w:r>
            <w:r w:rsidRPr="005E3BFC">
              <w:rPr>
                <w:sz w:val="20"/>
              </w:rPr>
              <w:t> </w:t>
            </w:r>
          </w:p>
          <w:p w14:paraId="1DEAAA07" w14:textId="77777777" w:rsidR="00B2782E" w:rsidRPr="005E3BFC" w:rsidRDefault="00B2782E" w:rsidP="002A145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5E3BFC">
              <w:rPr>
                <w:b/>
                <w:sz w:val="20"/>
              </w:rPr>
              <w:t>Diagnostic mobilité / accessibilité</w:t>
            </w:r>
            <w:r w:rsidRPr="005E3BFC">
              <w:rPr>
                <w:sz w:val="20"/>
              </w:rPr>
              <w:t xml:space="preserve"> : éléments de diagnostic intéressants à capitaliser, présentation des modèles d’enquêtes du Crem </w:t>
            </w:r>
          </w:p>
          <w:p w14:paraId="4E899AD2" w14:textId="77777777" w:rsidR="00B2782E" w:rsidRPr="005E3BFC" w:rsidRDefault="00B2782E" w:rsidP="002A145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5E3BFC">
              <w:rPr>
                <w:sz w:val="20"/>
              </w:rPr>
              <w:t xml:space="preserve">Le </w:t>
            </w:r>
            <w:r w:rsidRPr="005E3BFC">
              <w:rPr>
                <w:b/>
                <w:sz w:val="20"/>
              </w:rPr>
              <w:t>plan d’actions</w:t>
            </w:r>
            <w:r w:rsidRPr="005E3BFC">
              <w:rPr>
                <w:sz w:val="20"/>
              </w:rPr>
              <w:t> : présentation d’exemples d’actions réalisées dans des collèges (aménagements, animations, communication, …)</w:t>
            </w:r>
            <w:r w:rsidR="00133D29" w:rsidRPr="005E3BFC">
              <w:rPr>
                <w:sz w:val="20"/>
              </w:rPr>
              <w:t xml:space="preserve"> et présentation du CREM</w:t>
            </w:r>
            <w:r w:rsidR="00DA0B6F" w:rsidRPr="005E3BFC">
              <w:rPr>
                <w:sz w:val="20"/>
              </w:rPr>
              <w:t xml:space="preserve"> </w:t>
            </w:r>
          </w:p>
          <w:p w14:paraId="100540AF" w14:textId="0FF82470" w:rsidR="00E819C4" w:rsidRPr="005E3BFC" w:rsidRDefault="00E819C4" w:rsidP="002A1459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5E3BFC">
              <w:rPr>
                <w:sz w:val="20"/>
              </w:rPr>
              <w:t>Lien avec les programmes scolaires</w:t>
            </w:r>
            <w:r w:rsidR="0096088D" w:rsidRPr="005E3BFC">
              <w:rPr>
                <w:sz w:val="20"/>
              </w:rPr>
              <w:t xml:space="preserve"> </w:t>
            </w:r>
          </w:p>
          <w:p w14:paraId="348F3D9C" w14:textId="77777777" w:rsidR="00DA0B6F" w:rsidRPr="005E3BFC" w:rsidRDefault="00DA0B6F">
            <w:pPr>
              <w:rPr>
                <w:sz w:val="20"/>
              </w:rPr>
            </w:pPr>
          </w:p>
          <w:p w14:paraId="763B60CF" w14:textId="77777777" w:rsidR="00DA0B6F" w:rsidRPr="005E3BFC" w:rsidRDefault="00133D29">
            <w:pPr>
              <w:rPr>
                <w:sz w:val="20"/>
              </w:rPr>
            </w:pPr>
            <w:r w:rsidRPr="005E3BFC">
              <w:rPr>
                <w:b/>
                <w:sz w:val="20"/>
              </w:rPr>
              <w:t>Témoignage</w:t>
            </w:r>
            <w:r w:rsidR="00DA0B6F" w:rsidRPr="005E3BFC">
              <w:rPr>
                <w:b/>
                <w:sz w:val="20"/>
              </w:rPr>
              <w:t xml:space="preserve"> d’un collège</w:t>
            </w:r>
            <w:r w:rsidR="00115F2F" w:rsidRPr="005E3BFC">
              <w:rPr>
                <w:sz w:val="20"/>
              </w:rPr>
              <w:t xml:space="preserve"> (Collège Guy Mollet de Lomme ? - sous forme de vidéo)</w:t>
            </w:r>
          </w:p>
          <w:p w14:paraId="5EFDEEEA" w14:textId="77777777" w:rsidR="00B2782E" w:rsidRPr="005E3BFC" w:rsidRDefault="00B2782E">
            <w:pPr>
              <w:rPr>
                <w:sz w:val="20"/>
              </w:rPr>
            </w:pPr>
          </w:p>
        </w:tc>
      </w:tr>
      <w:tr w:rsidR="00133D29" w:rsidRPr="00115F2F" w14:paraId="4DDFD937" w14:textId="77777777" w:rsidTr="005E3B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D9A" w14:textId="77777777" w:rsidR="00133D29" w:rsidRPr="005E3BFC" w:rsidRDefault="00133D29">
            <w:pPr>
              <w:rPr>
                <w:b/>
                <w:sz w:val="20"/>
              </w:rPr>
            </w:pPr>
            <w:r w:rsidRPr="005E3BFC">
              <w:rPr>
                <w:b/>
                <w:sz w:val="20"/>
              </w:rPr>
              <w:t xml:space="preserve">Temps d’échange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C24" w14:textId="77777777" w:rsidR="00133D29" w:rsidRPr="005E3BFC" w:rsidRDefault="00133D29">
            <w:pPr>
              <w:rPr>
                <w:sz w:val="20"/>
              </w:rPr>
            </w:pPr>
            <w:r w:rsidRPr="005E3BFC">
              <w:rPr>
                <w:sz w:val="20"/>
              </w:rPr>
              <w:t xml:space="preserve">15 min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810F" w14:textId="77777777" w:rsidR="00133D29" w:rsidRPr="005E3BFC" w:rsidRDefault="00133D29">
            <w:pPr>
              <w:rPr>
                <w:sz w:val="20"/>
              </w:rPr>
            </w:pPr>
            <w:r w:rsidRPr="005E3BFC">
              <w:rPr>
                <w:sz w:val="20"/>
              </w:rPr>
              <w:t xml:space="preserve">Question / réponses avec les participants </w:t>
            </w:r>
          </w:p>
        </w:tc>
      </w:tr>
      <w:tr w:rsidR="00115F2F" w:rsidRPr="00115F2F" w14:paraId="22BDBBF2" w14:textId="77777777" w:rsidTr="005E3B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8BC" w14:textId="149DD601" w:rsidR="00115F2F" w:rsidRPr="005E3BFC" w:rsidRDefault="00115F2F">
            <w:pPr>
              <w:rPr>
                <w:b/>
                <w:sz w:val="20"/>
              </w:rPr>
            </w:pPr>
            <w:r w:rsidRPr="005E3BFC">
              <w:rPr>
                <w:b/>
                <w:sz w:val="20"/>
              </w:rPr>
              <w:t>Quizz Kahoot</w:t>
            </w:r>
            <w:r w:rsidR="005E3BFC">
              <w:rPr>
                <w:b/>
                <w:sz w:val="20"/>
              </w:rPr>
              <w:t xml:space="preserve"> (sur smartphone)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165" w14:textId="77777777" w:rsidR="00115F2F" w:rsidRPr="005E3BFC" w:rsidRDefault="00115F2F">
            <w:pPr>
              <w:rPr>
                <w:sz w:val="20"/>
              </w:rPr>
            </w:pPr>
            <w:r w:rsidRPr="005E3BFC">
              <w:rPr>
                <w:sz w:val="20"/>
              </w:rPr>
              <w:t>15 min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4C5F" w14:textId="77777777" w:rsidR="00115F2F" w:rsidRPr="005E3BFC" w:rsidRDefault="00115F2F" w:rsidP="00115F2F">
            <w:pPr>
              <w:rPr>
                <w:sz w:val="20"/>
              </w:rPr>
            </w:pPr>
            <w:r w:rsidRPr="005E3BFC">
              <w:rPr>
                <w:sz w:val="20"/>
              </w:rPr>
              <w:t xml:space="preserve">Quizz sur le contenu de la formation et les enjeux de l’ecomobilité dans les établissements scolaires  </w:t>
            </w:r>
          </w:p>
        </w:tc>
      </w:tr>
    </w:tbl>
    <w:p w14:paraId="63DFE7D0" w14:textId="77777777" w:rsidR="00133D29" w:rsidRDefault="00133D29"/>
    <w:p w14:paraId="1FCCF98C" w14:textId="77777777" w:rsidR="00133D29" w:rsidRDefault="00133D29">
      <w:r>
        <w:br w:type="page"/>
      </w:r>
    </w:p>
    <w:p w14:paraId="158E2151" w14:textId="069C3F08" w:rsidR="00B2782E" w:rsidRPr="00314EA4" w:rsidRDefault="00DA0B6F">
      <w:pPr>
        <w:rPr>
          <w:b/>
          <w:sz w:val="28"/>
          <w:szCs w:val="28"/>
        </w:rPr>
      </w:pPr>
      <w:r w:rsidRPr="00314EA4">
        <w:rPr>
          <w:b/>
          <w:sz w:val="28"/>
          <w:szCs w:val="28"/>
        </w:rPr>
        <w:lastRenderedPageBreak/>
        <w:t>2</w:t>
      </w:r>
      <w:r w:rsidRPr="00314EA4">
        <w:rPr>
          <w:b/>
          <w:sz w:val="28"/>
          <w:szCs w:val="28"/>
          <w:vertAlign w:val="superscript"/>
        </w:rPr>
        <w:t>ème</w:t>
      </w:r>
      <w:r w:rsidRPr="00314EA4">
        <w:rPr>
          <w:b/>
          <w:sz w:val="28"/>
          <w:szCs w:val="28"/>
        </w:rPr>
        <w:t xml:space="preserve"> temps</w:t>
      </w:r>
      <w:r w:rsidR="004D45B7">
        <w:rPr>
          <w:b/>
          <w:sz w:val="28"/>
          <w:szCs w:val="28"/>
        </w:rPr>
        <w:t xml:space="preserve"> (</w:t>
      </w:r>
      <w:r w:rsidR="005E3BFC">
        <w:rPr>
          <w:b/>
          <w:sz w:val="28"/>
          <w:szCs w:val="28"/>
        </w:rPr>
        <w:t xml:space="preserve">après les vacances de la toussaint) </w:t>
      </w:r>
    </w:p>
    <w:p w14:paraId="08A0CF69" w14:textId="77777777" w:rsidR="00314EA4" w:rsidRPr="00314EA4" w:rsidRDefault="00E819C4">
      <w:pPr>
        <w:rPr>
          <w:b/>
          <w:color w:val="C00000"/>
          <w:sz w:val="28"/>
          <w:szCs w:val="28"/>
        </w:rPr>
      </w:pPr>
      <w:r w:rsidRPr="00314EA4">
        <w:rPr>
          <w:b/>
          <w:color w:val="C00000"/>
          <w:sz w:val="28"/>
          <w:szCs w:val="28"/>
        </w:rPr>
        <w:t>La mobilité sur le territoire de mon collège </w:t>
      </w:r>
    </w:p>
    <w:p w14:paraId="1C419E5A" w14:textId="77777777" w:rsidR="00314EA4" w:rsidRPr="00314EA4" w:rsidRDefault="00314EA4" w:rsidP="00314EA4">
      <w:pPr>
        <w:rPr>
          <w:b/>
          <w:i/>
          <w:color w:val="C00000"/>
          <w:sz w:val="28"/>
          <w:szCs w:val="28"/>
        </w:rPr>
      </w:pPr>
      <w:r w:rsidRPr="00314EA4">
        <w:rPr>
          <w:b/>
          <w:i/>
          <w:color w:val="C00000"/>
          <w:sz w:val="28"/>
          <w:szCs w:val="28"/>
        </w:rPr>
        <w:t>Etat des lieux, acteurs, leviers d’actions pour mon PDES</w:t>
      </w:r>
    </w:p>
    <w:p w14:paraId="1C64A6CF" w14:textId="77777777" w:rsidR="00E819C4" w:rsidRPr="00A402DC" w:rsidRDefault="00027791" w:rsidP="00A402DC">
      <w:pPr>
        <w:jc w:val="both"/>
        <w:rPr>
          <w:i/>
          <w:szCs w:val="24"/>
        </w:rPr>
      </w:pPr>
      <w:r w:rsidRPr="00A402DC">
        <w:rPr>
          <w:i/>
          <w:szCs w:val="24"/>
        </w:rPr>
        <w:t>Titre à personnaliser</w:t>
      </w:r>
      <w:r w:rsidR="00E819C4" w:rsidRPr="00A402DC">
        <w:rPr>
          <w:i/>
          <w:szCs w:val="24"/>
        </w:rPr>
        <w:t xml:space="preserve"> par territoire -&gt; La mobilité dans le Cambrésis</w:t>
      </w:r>
      <w:r w:rsidR="00314EA4" w:rsidRPr="00A402DC">
        <w:rPr>
          <w:i/>
          <w:szCs w:val="24"/>
        </w:rPr>
        <w:t>, …</w:t>
      </w:r>
    </w:p>
    <w:p w14:paraId="5C600AF2" w14:textId="77777777" w:rsidR="00E819C4" w:rsidRPr="00A402DC" w:rsidRDefault="00E819C4" w:rsidP="00A402DC">
      <w:pPr>
        <w:jc w:val="both"/>
        <w:rPr>
          <w:sz w:val="20"/>
        </w:rPr>
      </w:pPr>
      <w:r w:rsidRPr="00A402DC">
        <w:rPr>
          <w:sz w:val="20"/>
          <w:u w:val="single"/>
        </w:rPr>
        <w:t>Objectif </w:t>
      </w:r>
      <w:r w:rsidRPr="00A402DC">
        <w:rPr>
          <w:sz w:val="20"/>
        </w:rPr>
        <w:t xml:space="preserve">: </w:t>
      </w:r>
    </w:p>
    <w:p w14:paraId="6B90C525" w14:textId="77777777" w:rsidR="00E819C4" w:rsidRPr="00A402DC" w:rsidRDefault="00E819C4" w:rsidP="00A402DC">
      <w:pPr>
        <w:pStyle w:val="Paragraphedeliste"/>
        <w:numPr>
          <w:ilvl w:val="0"/>
          <w:numId w:val="5"/>
        </w:numPr>
        <w:jc w:val="both"/>
        <w:rPr>
          <w:sz w:val="20"/>
        </w:rPr>
      </w:pPr>
      <w:r w:rsidRPr="00A402DC">
        <w:rPr>
          <w:sz w:val="20"/>
        </w:rPr>
        <w:t>Permettre aux référents mobilité d’appréhender la mise en œuvre de leur PDES au regard des spécificités de leur territoire et d’identifier les acteurs des collectivités qui peuvent être associés</w:t>
      </w:r>
      <w:r w:rsidR="00925503" w:rsidRPr="00A402DC">
        <w:rPr>
          <w:sz w:val="20"/>
        </w:rPr>
        <w:t xml:space="preserve"> et leurs compétences.</w:t>
      </w:r>
    </w:p>
    <w:p w14:paraId="2BE8177A" w14:textId="77777777" w:rsidR="00E819C4" w:rsidRPr="00A402DC" w:rsidRDefault="00E819C4" w:rsidP="00A402DC">
      <w:pPr>
        <w:pStyle w:val="Paragraphedeliste"/>
        <w:numPr>
          <w:ilvl w:val="0"/>
          <w:numId w:val="5"/>
        </w:numPr>
        <w:jc w:val="both"/>
        <w:rPr>
          <w:sz w:val="20"/>
        </w:rPr>
      </w:pPr>
      <w:r w:rsidRPr="00A402DC">
        <w:rPr>
          <w:sz w:val="20"/>
        </w:rPr>
        <w:t>Favoriser les échanges et coopérations ultérieures entre les collectivités locales et les collèges.</w:t>
      </w:r>
    </w:p>
    <w:p w14:paraId="01D960B1" w14:textId="77777777" w:rsidR="00E819C4" w:rsidRPr="00A402DC" w:rsidRDefault="00E819C4" w:rsidP="00A402DC">
      <w:pPr>
        <w:jc w:val="both"/>
        <w:rPr>
          <w:sz w:val="20"/>
        </w:rPr>
      </w:pPr>
      <w:r w:rsidRPr="00A402DC">
        <w:rPr>
          <w:sz w:val="20"/>
          <w:u w:val="single"/>
        </w:rPr>
        <w:t>Format</w:t>
      </w:r>
      <w:r w:rsidRPr="00A402DC">
        <w:rPr>
          <w:sz w:val="20"/>
        </w:rPr>
        <w:t> : visioconférence</w:t>
      </w:r>
    </w:p>
    <w:p w14:paraId="0B5F10B7" w14:textId="77777777" w:rsidR="00E819C4" w:rsidRPr="00A402DC" w:rsidRDefault="00E819C4" w:rsidP="00A402DC">
      <w:pPr>
        <w:jc w:val="both"/>
        <w:rPr>
          <w:sz w:val="20"/>
        </w:rPr>
      </w:pPr>
      <w:r w:rsidRPr="00A402DC">
        <w:rPr>
          <w:sz w:val="20"/>
          <w:u w:val="single"/>
        </w:rPr>
        <w:t>Durée </w:t>
      </w:r>
      <w:r w:rsidRPr="00A402DC">
        <w:rPr>
          <w:sz w:val="20"/>
        </w:rPr>
        <w:t>:  2h</w:t>
      </w:r>
    </w:p>
    <w:p w14:paraId="5910E89D" w14:textId="43B4E35B" w:rsidR="00E819C4" w:rsidRPr="00A402DC" w:rsidRDefault="00E819C4" w:rsidP="00A402DC">
      <w:pPr>
        <w:jc w:val="both"/>
        <w:rPr>
          <w:sz w:val="20"/>
        </w:rPr>
      </w:pPr>
      <w:r w:rsidRPr="00A402DC">
        <w:rPr>
          <w:sz w:val="20"/>
          <w:u w:val="single"/>
        </w:rPr>
        <w:t>Public</w:t>
      </w:r>
      <w:r w:rsidRPr="00A402DC">
        <w:rPr>
          <w:sz w:val="20"/>
        </w:rPr>
        <w:t xml:space="preserve"> : les référents des collèges d’un même district (avec quelques ajustements géographiques proposés par le Crem pour </w:t>
      </w:r>
      <w:r w:rsidRPr="005E3BFC">
        <w:rPr>
          <w:sz w:val="20"/>
        </w:rPr>
        <w:t xml:space="preserve">qu’il y ait une cohérence entre les collèges participants et les compétences des collectivités partenaires) </w:t>
      </w:r>
      <w:r w:rsidR="00A402DC" w:rsidRPr="005E3BFC">
        <w:rPr>
          <w:sz w:val="20"/>
        </w:rPr>
        <w:t xml:space="preserve">+ </w:t>
      </w:r>
      <w:r w:rsidR="00C034DF" w:rsidRPr="005E3BFC">
        <w:rPr>
          <w:sz w:val="20"/>
        </w:rPr>
        <w:t>autorités</w:t>
      </w:r>
      <w:r w:rsidR="00A402DC" w:rsidRPr="005E3BFC">
        <w:rPr>
          <w:sz w:val="20"/>
        </w:rPr>
        <w:t xml:space="preserve"> organisatrices de la mobilité + intercommunalités + communes …</w:t>
      </w:r>
      <w:r w:rsidR="00A402DC" w:rsidRPr="00A402DC">
        <w:rPr>
          <w:sz w:val="20"/>
        </w:rPr>
        <w:t xml:space="preserve"> </w:t>
      </w:r>
    </w:p>
    <w:p w14:paraId="78B8BF57" w14:textId="77777777" w:rsidR="00E819C4" w:rsidRPr="00A402DC" w:rsidRDefault="00E819C4" w:rsidP="00A402DC">
      <w:pPr>
        <w:jc w:val="both"/>
        <w:rPr>
          <w:sz w:val="20"/>
        </w:rPr>
      </w:pPr>
      <w:r w:rsidRPr="00A402DC">
        <w:rPr>
          <w:sz w:val="20"/>
        </w:rPr>
        <w:t xml:space="preserve">Cette visioconférence est à proposer et personnaliser pour chaque district. </w:t>
      </w:r>
    </w:p>
    <w:p w14:paraId="6291683C" w14:textId="77777777" w:rsidR="00A402DC" w:rsidRDefault="00A402DC" w:rsidP="00A402DC">
      <w:pPr>
        <w:jc w:val="both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944"/>
        <w:gridCol w:w="5098"/>
      </w:tblGrid>
      <w:tr w:rsidR="00E819C4" w14:paraId="77807B54" w14:textId="77777777" w:rsidTr="00E819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F58BAE8" w14:textId="77777777" w:rsidR="00E819C4" w:rsidRPr="00A402DC" w:rsidRDefault="00E819C4">
            <w:pPr>
              <w:rPr>
                <w:b/>
                <w:i/>
                <w:sz w:val="20"/>
              </w:rPr>
            </w:pPr>
            <w:r w:rsidRPr="00A402DC">
              <w:rPr>
                <w:b/>
                <w:i/>
                <w:sz w:val="20"/>
              </w:rPr>
              <w:t xml:space="preserve">Thème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0752D1" w14:textId="77777777" w:rsidR="00E819C4" w:rsidRPr="00A402DC" w:rsidRDefault="00E819C4">
            <w:pPr>
              <w:rPr>
                <w:b/>
                <w:i/>
                <w:sz w:val="20"/>
              </w:rPr>
            </w:pPr>
            <w:r w:rsidRPr="00A402DC">
              <w:rPr>
                <w:b/>
                <w:i/>
                <w:sz w:val="20"/>
              </w:rPr>
              <w:t xml:space="preserve">Durée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00CB34" w14:textId="77777777" w:rsidR="00E819C4" w:rsidRPr="00A402DC" w:rsidRDefault="00E819C4">
            <w:pPr>
              <w:rPr>
                <w:b/>
                <w:i/>
                <w:sz w:val="20"/>
              </w:rPr>
            </w:pPr>
            <w:r w:rsidRPr="00A402DC">
              <w:rPr>
                <w:b/>
                <w:i/>
                <w:sz w:val="20"/>
              </w:rPr>
              <w:t xml:space="preserve">Contenu </w:t>
            </w:r>
          </w:p>
        </w:tc>
      </w:tr>
      <w:tr w:rsidR="00E819C4" w14:paraId="75B7DD66" w14:textId="77777777" w:rsidTr="00E819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5DF" w14:textId="77777777" w:rsidR="00E819C4" w:rsidRPr="00A402DC" w:rsidRDefault="00E819C4">
            <w:pPr>
              <w:rPr>
                <w:b/>
                <w:sz w:val="20"/>
              </w:rPr>
            </w:pPr>
            <w:r w:rsidRPr="00A402DC">
              <w:rPr>
                <w:b/>
                <w:sz w:val="20"/>
              </w:rPr>
              <w:t xml:space="preserve">Rappel rapide du contexte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3555" w14:textId="77777777" w:rsidR="00E819C4" w:rsidRPr="00A402DC" w:rsidRDefault="004D45B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E819C4" w:rsidRPr="00A402DC">
              <w:rPr>
                <w:sz w:val="20"/>
              </w:rPr>
              <w:t xml:space="preserve"> min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5FE" w14:textId="77777777" w:rsidR="00E819C4" w:rsidRPr="00A402DC" w:rsidRDefault="00E819C4">
            <w:pPr>
              <w:rPr>
                <w:sz w:val="20"/>
              </w:rPr>
            </w:pPr>
            <w:r w:rsidRPr="00A402DC">
              <w:rPr>
                <w:sz w:val="20"/>
              </w:rPr>
              <w:t>Retour sur le 1</w:t>
            </w:r>
            <w:r w:rsidRPr="00A402DC">
              <w:rPr>
                <w:sz w:val="20"/>
                <w:vertAlign w:val="superscript"/>
              </w:rPr>
              <w:t xml:space="preserve">èr </w:t>
            </w:r>
            <w:r w:rsidRPr="00A402DC">
              <w:rPr>
                <w:sz w:val="20"/>
              </w:rPr>
              <w:t xml:space="preserve">temps de visioconférence </w:t>
            </w:r>
            <w:r w:rsidR="00DA1BB5" w:rsidRPr="00A402DC">
              <w:rPr>
                <w:sz w:val="20"/>
              </w:rPr>
              <w:t>(réponse</w:t>
            </w:r>
            <w:r w:rsidR="00925503" w:rsidRPr="00A402DC">
              <w:rPr>
                <w:sz w:val="20"/>
              </w:rPr>
              <w:t xml:space="preserve"> éventuelle à des questions qui avaient été posées à cette occasion) </w:t>
            </w:r>
            <w:r w:rsidRPr="00A402DC">
              <w:rPr>
                <w:sz w:val="20"/>
              </w:rPr>
              <w:t xml:space="preserve">et le kit du référent PDES qui aura été transmis en amont </w:t>
            </w:r>
          </w:p>
          <w:p w14:paraId="4B55627D" w14:textId="77777777" w:rsidR="00E819C4" w:rsidRPr="00A402DC" w:rsidRDefault="00E819C4">
            <w:pPr>
              <w:rPr>
                <w:sz w:val="20"/>
              </w:rPr>
            </w:pPr>
          </w:p>
          <w:p w14:paraId="25B040EF" w14:textId="77777777" w:rsidR="00E819C4" w:rsidRPr="00A402DC" w:rsidRDefault="00E819C4">
            <w:pPr>
              <w:rPr>
                <w:sz w:val="20"/>
              </w:rPr>
            </w:pPr>
          </w:p>
        </w:tc>
      </w:tr>
      <w:tr w:rsidR="00E819C4" w14:paraId="51C6FDD4" w14:textId="77777777" w:rsidTr="00E819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8452" w14:textId="77777777" w:rsidR="00E819C4" w:rsidRPr="00A402DC" w:rsidRDefault="00E819C4">
            <w:pPr>
              <w:rPr>
                <w:b/>
                <w:sz w:val="20"/>
              </w:rPr>
            </w:pPr>
            <w:r w:rsidRPr="00A402DC">
              <w:rPr>
                <w:b/>
                <w:sz w:val="20"/>
              </w:rPr>
              <w:t>La mobilité sur le territoire du</w:t>
            </w:r>
            <w:r w:rsidR="00A402DC" w:rsidRPr="00A402DC">
              <w:rPr>
                <w:b/>
                <w:sz w:val="20"/>
              </w:rPr>
              <w:t xml:space="preserve"> …</w:t>
            </w:r>
            <w:r w:rsidRPr="00A402DC">
              <w:rPr>
                <w:b/>
                <w:sz w:val="20"/>
              </w:rPr>
              <w:t xml:space="preserve">. (Cambrésis, Avesnois, Valenciennois, …)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7C7" w14:textId="77777777" w:rsidR="00E819C4" w:rsidRPr="00A402DC" w:rsidRDefault="004D45B7">
            <w:pPr>
              <w:rPr>
                <w:sz w:val="20"/>
              </w:rPr>
            </w:pPr>
            <w:r>
              <w:rPr>
                <w:sz w:val="20"/>
              </w:rPr>
              <w:t>45</w:t>
            </w:r>
            <w:r w:rsidR="00E819C4" w:rsidRPr="00A402DC">
              <w:rPr>
                <w:sz w:val="20"/>
              </w:rPr>
              <w:t xml:space="preserve"> min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CE6" w14:textId="77777777" w:rsidR="00E819C4" w:rsidRPr="00A402DC" w:rsidRDefault="00E819C4" w:rsidP="00462B6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A402DC">
              <w:rPr>
                <w:sz w:val="20"/>
              </w:rPr>
              <w:t>Etat des lieux de la mobilité sur le territoire</w:t>
            </w:r>
          </w:p>
          <w:p w14:paraId="2E36CB11" w14:textId="77777777" w:rsidR="00925503" w:rsidRPr="00A402DC" w:rsidRDefault="00925503" w:rsidP="00925503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A402DC">
              <w:rPr>
                <w:sz w:val="20"/>
              </w:rPr>
              <w:t xml:space="preserve">Les politiques publiques locales en cours / en projet lien avec la mobilité </w:t>
            </w:r>
          </w:p>
          <w:p w14:paraId="07191A3B" w14:textId="77777777" w:rsidR="00E819C4" w:rsidRPr="00A402DC" w:rsidRDefault="00E819C4" w:rsidP="00462B6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A402DC">
              <w:rPr>
                <w:sz w:val="20"/>
              </w:rPr>
              <w:t>Présentation des acteurs publics et associatifs locaux et de leurs compétences / ressources mobilisables</w:t>
            </w:r>
            <w:r w:rsidR="00685C37" w:rsidRPr="00A402DC">
              <w:rPr>
                <w:sz w:val="20"/>
              </w:rPr>
              <w:t xml:space="preserve"> (ex : modules sécurité routières avec le Département du Nord)</w:t>
            </w:r>
          </w:p>
          <w:p w14:paraId="690FEEBF" w14:textId="77777777" w:rsidR="00E819C4" w:rsidRPr="00A402DC" w:rsidRDefault="00E819C4" w:rsidP="00E819C4">
            <w:pPr>
              <w:pStyle w:val="Paragraphedeliste"/>
              <w:spacing w:line="240" w:lineRule="auto"/>
              <w:rPr>
                <w:sz w:val="20"/>
              </w:rPr>
            </w:pPr>
          </w:p>
          <w:p w14:paraId="234700C3" w14:textId="77777777" w:rsidR="00E819C4" w:rsidRPr="00A402DC" w:rsidRDefault="00E819C4">
            <w:pPr>
              <w:ind w:left="360"/>
              <w:rPr>
                <w:i/>
                <w:sz w:val="20"/>
              </w:rPr>
            </w:pPr>
            <w:r w:rsidRPr="00A402DC">
              <w:rPr>
                <w:i/>
                <w:sz w:val="20"/>
              </w:rPr>
              <w:t xml:space="preserve">Présentation à préparer avec un ou des représentant des territoires concernés </w:t>
            </w:r>
            <w:r w:rsidR="00925503" w:rsidRPr="00A402DC">
              <w:rPr>
                <w:i/>
                <w:sz w:val="20"/>
              </w:rPr>
              <w:t xml:space="preserve">(leur proposer d’intervenir le jour J) : intercommunalité, </w:t>
            </w:r>
            <w:r w:rsidR="00685C37" w:rsidRPr="00A402DC">
              <w:rPr>
                <w:i/>
                <w:sz w:val="20"/>
              </w:rPr>
              <w:t>conseils départementaux</w:t>
            </w:r>
          </w:p>
          <w:p w14:paraId="75F4F77A" w14:textId="77777777" w:rsidR="00E819C4" w:rsidRPr="00A402DC" w:rsidRDefault="00E819C4">
            <w:pPr>
              <w:rPr>
                <w:sz w:val="20"/>
              </w:rPr>
            </w:pPr>
          </w:p>
        </w:tc>
      </w:tr>
      <w:tr w:rsidR="00925503" w14:paraId="2CDE0EF6" w14:textId="77777777" w:rsidTr="00E819C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741" w14:textId="77777777" w:rsidR="00925503" w:rsidRPr="004D45B7" w:rsidRDefault="00925503">
            <w:pPr>
              <w:rPr>
                <w:b/>
                <w:color w:val="000000" w:themeColor="text1"/>
                <w:sz w:val="20"/>
              </w:rPr>
            </w:pPr>
            <w:r w:rsidRPr="004D45B7">
              <w:rPr>
                <w:b/>
                <w:color w:val="000000" w:themeColor="text1"/>
                <w:sz w:val="20"/>
              </w:rPr>
              <w:t>Point d’étape sur les actions menées et projets en cours dans les collèges du district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F43" w14:textId="77777777" w:rsidR="00925503" w:rsidRPr="004D45B7" w:rsidRDefault="00925503">
            <w:pPr>
              <w:rPr>
                <w:color w:val="000000" w:themeColor="text1"/>
                <w:sz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B4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  <w:r w:rsidRPr="004D45B7">
              <w:rPr>
                <w:color w:val="000000" w:themeColor="text1"/>
                <w:sz w:val="20"/>
              </w:rPr>
              <w:t xml:space="preserve">Support : retour d’enquête du rectorat. </w:t>
            </w:r>
          </w:p>
          <w:p w14:paraId="45857955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  <w:r w:rsidRPr="004D45B7">
              <w:rPr>
                <w:color w:val="000000" w:themeColor="text1"/>
                <w:sz w:val="20"/>
              </w:rPr>
              <w:t>Chaque collège pourra évoquer son PDES</w:t>
            </w:r>
          </w:p>
          <w:p w14:paraId="2C8C7A69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</w:p>
          <w:p w14:paraId="2440E164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  <w:r w:rsidRPr="004D45B7">
              <w:rPr>
                <w:color w:val="000000" w:themeColor="text1"/>
                <w:sz w:val="20"/>
              </w:rPr>
              <w:t>Préparer un témoignage complet avec un collège pilote du district</w:t>
            </w:r>
          </w:p>
          <w:p w14:paraId="68138B99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</w:p>
          <w:p w14:paraId="50DF575B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</w:p>
          <w:p w14:paraId="232711AE" w14:textId="77777777" w:rsidR="00925503" w:rsidRPr="004D45B7" w:rsidRDefault="00925503" w:rsidP="00925503">
            <w:pPr>
              <w:rPr>
                <w:color w:val="000000" w:themeColor="text1"/>
                <w:sz w:val="20"/>
              </w:rPr>
            </w:pPr>
          </w:p>
        </w:tc>
      </w:tr>
      <w:tr w:rsidR="00925503" w14:paraId="49464BB3" w14:textId="77777777" w:rsidTr="005E3B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89" w14:textId="77777777" w:rsidR="00925503" w:rsidRPr="00A402DC" w:rsidRDefault="00925503">
            <w:pPr>
              <w:rPr>
                <w:b/>
                <w:sz w:val="20"/>
              </w:rPr>
            </w:pPr>
            <w:r w:rsidRPr="00A402DC">
              <w:rPr>
                <w:b/>
                <w:sz w:val="20"/>
              </w:rPr>
              <w:t>Temps de questions / échanges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6242" w14:textId="77777777" w:rsidR="00925503" w:rsidRPr="005E3BFC" w:rsidRDefault="004D45B7">
            <w:pPr>
              <w:rPr>
                <w:sz w:val="20"/>
              </w:rPr>
            </w:pPr>
            <w:r w:rsidRPr="005E3BFC">
              <w:rPr>
                <w:sz w:val="20"/>
              </w:rPr>
              <w:t>15 min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87D8" w14:textId="77777777" w:rsidR="00925503" w:rsidRPr="005E3BFC" w:rsidRDefault="000A7934" w:rsidP="00925503">
            <w:pPr>
              <w:rPr>
                <w:sz w:val="20"/>
              </w:rPr>
            </w:pPr>
            <w:r w:rsidRPr="005E3BFC">
              <w:rPr>
                <w:sz w:val="20"/>
              </w:rPr>
              <w:t>Quelles suites</w:t>
            </w:r>
            <w:r w:rsidR="00925503" w:rsidRPr="005E3BFC">
              <w:rPr>
                <w:sz w:val="20"/>
              </w:rPr>
              <w:t xml:space="preserve"> à donner ? Quels besoins en outils, rencontres, mise en réseau ?</w:t>
            </w:r>
          </w:p>
        </w:tc>
      </w:tr>
    </w:tbl>
    <w:p w14:paraId="28D2F0E3" w14:textId="77777777" w:rsidR="002A1459" w:rsidRPr="002A1459" w:rsidRDefault="002A1459">
      <w:pPr>
        <w:rPr>
          <w:b/>
        </w:rPr>
      </w:pPr>
    </w:p>
    <w:sectPr w:rsidR="002A1459" w:rsidRPr="002A14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A000" w14:textId="77777777" w:rsidR="00115F2F" w:rsidRDefault="00115F2F" w:rsidP="00115F2F">
      <w:pPr>
        <w:spacing w:after="0" w:line="240" w:lineRule="auto"/>
      </w:pPr>
      <w:r>
        <w:separator/>
      </w:r>
    </w:p>
  </w:endnote>
  <w:endnote w:type="continuationSeparator" w:id="0">
    <w:p w14:paraId="73B8C62A" w14:textId="77777777" w:rsidR="00115F2F" w:rsidRDefault="00115F2F" w:rsidP="0011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E4B0" w14:textId="66BBEBB6" w:rsidR="00115F2F" w:rsidRDefault="00115F2F" w:rsidP="00115F2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AFF649E" wp14:editId="72C3D936">
          <wp:simplePos x="0" y="0"/>
          <wp:positionH relativeFrom="column">
            <wp:posOffset>5510530</wp:posOffset>
          </wp:positionH>
          <wp:positionV relativeFrom="paragraph">
            <wp:posOffset>-119380</wp:posOffset>
          </wp:positionV>
          <wp:extent cx="600075" cy="72644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713085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3BFC">
          <w:rPr>
            <w:noProof/>
          </w:rPr>
          <w:t>2</w:t>
        </w:r>
        <w:r>
          <w:fldChar w:fldCharType="end"/>
        </w:r>
      </w:sdtContent>
    </w:sdt>
    <w:r>
      <w:t xml:space="preserve">                                                           </w:t>
    </w:r>
    <w:r w:rsidRPr="00115F2F">
      <w:rPr>
        <w:rFonts w:ascii="Arial" w:hAnsi="Arial" w:cs="Arial"/>
        <w:i/>
        <w:sz w:val="16"/>
      </w:rPr>
      <w:t>Déroulé formations référents PDES</w:t>
    </w:r>
    <w:r w:rsidRPr="00115F2F">
      <w:rPr>
        <w:sz w:val="16"/>
      </w:rPr>
      <w:t xml:space="preserve">    </w:t>
    </w:r>
    <w:r>
      <w:rPr>
        <w:sz w:val="16"/>
      </w:rPr>
      <w:t xml:space="preserve">                      </w:t>
    </w:r>
    <w:r w:rsidRPr="00115F2F">
      <w:rPr>
        <w:sz w:val="16"/>
      </w:rPr>
      <w:t xml:space="preserve">                                             </w:t>
    </w:r>
  </w:p>
  <w:p w14:paraId="74EB1830" w14:textId="77777777" w:rsidR="00115F2F" w:rsidRDefault="00115F2F" w:rsidP="00115F2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0C0A" w14:textId="77777777" w:rsidR="00115F2F" w:rsidRDefault="00115F2F" w:rsidP="00115F2F">
      <w:pPr>
        <w:spacing w:after="0" w:line="240" w:lineRule="auto"/>
      </w:pPr>
      <w:r>
        <w:separator/>
      </w:r>
    </w:p>
  </w:footnote>
  <w:footnote w:type="continuationSeparator" w:id="0">
    <w:p w14:paraId="679429C3" w14:textId="77777777" w:rsidR="00115F2F" w:rsidRDefault="00115F2F" w:rsidP="0011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96D"/>
    <w:multiLevelType w:val="hybridMultilevel"/>
    <w:tmpl w:val="CC902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BA8"/>
    <w:multiLevelType w:val="hybridMultilevel"/>
    <w:tmpl w:val="46406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0FAC"/>
    <w:multiLevelType w:val="hybridMultilevel"/>
    <w:tmpl w:val="CFE6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2279"/>
    <w:multiLevelType w:val="hybridMultilevel"/>
    <w:tmpl w:val="81BC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E"/>
    <w:rsid w:val="00027791"/>
    <w:rsid w:val="000A7934"/>
    <w:rsid w:val="00115F2F"/>
    <w:rsid w:val="00133D29"/>
    <w:rsid w:val="002A1459"/>
    <w:rsid w:val="00314EA4"/>
    <w:rsid w:val="00326E0D"/>
    <w:rsid w:val="003F5230"/>
    <w:rsid w:val="004D45B7"/>
    <w:rsid w:val="005E3BFC"/>
    <w:rsid w:val="00685C37"/>
    <w:rsid w:val="006B495F"/>
    <w:rsid w:val="00925503"/>
    <w:rsid w:val="0096088D"/>
    <w:rsid w:val="009C0348"/>
    <w:rsid w:val="00A402DC"/>
    <w:rsid w:val="00B2782E"/>
    <w:rsid w:val="00C034DF"/>
    <w:rsid w:val="00C72212"/>
    <w:rsid w:val="00DA0B6F"/>
    <w:rsid w:val="00DA1BB5"/>
    <w:rsid w:val="00E819C4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DF896E"/>
  <w15:chartTrackingRefBased/>
  <w15:docId w15:val="{4945F965-4D1E-4A16-A6CF-D46843E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82E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27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1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F2F"/>
  </w:style>
  <w:style w:type="paragraph" w:styleId="Pieddepage">
    <w:name w:val="footer"/>
    <w:basedOn w:val="Normal"/>
    <w:link w:val="PieddepageCar"/>
    <w:uiPriority w:val="99"/>
    <w:unhideWhenUsed/>
    <w:rsid w:val="0011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F2F"/>
  </w:style>
  <w:style w:type="character" w:styleId="Marquedecommentaire">
    <w:name w:val="annotation reference"/>
    <w:basedOn w:val="Policepardfaut"/>
    <w:uiPriority w:val="99"/>
    <w:semiHidden/>
    <w:unhideWhenUsed/>
    <w:rsid w:val="00A402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2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2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2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2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bilite-mobiliteit.brussels/fr/p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2020-09-10T11:55:00Z</dcterms:created>
  <dcterms:modified xsi:type="dcterms:W3CDTF">2020-09-10T12:18:00Z</dcterms:modified>
</cp:coreProperties>
</file>