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238567" cy="495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567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6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DEPARTEMENT DU NORD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8064a2"/>
        </w:rPr>
      </w:pPr>
      <w:r w:rsidDel="00000000" w:rsidR="00000000" w:rsidRPr="00000000">
        <w:rPr>
          <w:color w:val="8064a2"/>
          <w:rtl w:val="0"/>
        </w:rPr>
        <w:t xml:space="preserve">En violet, les nouveautés 2018</w:t>
      </w:r>
    </w:p>
    <w:p w:rsidR="00000000" w:rsidDel="00000000" w:rsidP="00000000" w:rsidRDefault="00000000" w:rsidRPr="00000000" w14:paraId="00000008">
      <w:pPr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En orange, nouveautés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Avec la loi Notre, la compétence transport est transférée au Conseil Régional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p w:rsidR="00000000" w:rsidDel="00000000" w:rsidP="00000000" w:rsidRDefault="00000000" w:rsidRPr="00000000" w14:paraId="0000000D">
      <w:pPr>
        <w:shd w:fill="ffffff" w:val="clear"/>
        <w:spacing w:before="0" w:lineRule="auto"/>
        <w:ind w:left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1"/>
        <w:gridCol w:w="4457"/>
        <w:tblGridChange w:id="0">
          <w:tblGrid>
            <w:gridCol w:w="4471"/>
            <w:gridCol w:w="4457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Taux d’occupation des voitures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1,07 par véhicule, volonté de passer à 1,17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Taux de motorisation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22% des ménages n’ont pas de voiture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 modale déplacements en nombre et en kilomètres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moitié des déplacements &lt; 3 kms</w:t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75% déplacements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Aménagements cyclables (dont stationnement)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361 km de bandes cyclables (obj Plan départemental)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249 km pistes cyclables (obj Plan départemental)</w:t>
            </w:r>
          </w:p>
          <w:p w:rsidR="00000000" w:rsidDel="00000000" w:rsidP="00000000" w:rsidRDefault="00000000" w:rsidRPr="00000000" w14:paraId="00000018">
            <w:pPr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 km de voies vertes ((obj Plan départemental)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Aires de covoiturage (contenance et utilisation)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Voitures libre-service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Vélos libre-service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Emissions polluantes dues aux transports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 de véhicules propres dans les Parcs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 PDE / PDES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Fréquentation des sites internet de covoiturage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Evolution du trafic intra-urbain dans les agglos de plus de 50 000 habitants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Evolution de la qualité de l’air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Autres ??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Présence de 3 véloroutes 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Véloroute du Paris-Roubaix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Véloroute du littoral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Véloroute de l’Avesnois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54% des usagers des transports en commun ont moins de 18 ans</w:t>
            </w:r>
          </w:p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spacing w:after="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Schéma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cyclable départemental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068"/>
        <w:rPr/>
      </w:pPr>
      <w:r w:rsidDel="00000000" w:rsidR="00000000" w:rsidRPr="00000000">
        <w:rPr>
          <w:rtl w:val="0"/>
        </w:rPr>
        <w:t xml:space="preserve">Déclianaison du schéma de mobilité « Mobilité Liberté 2030 », </w:t>
      </w:r>
    </w:p>
    <w:p w:rsidR="00000000" w:rsidDel="00000000" w:rsidP="00000000" w:rsidRDefault="00000000" w:rsidRPr="00000000" w14:paraId="0000003A">
      <w:pPr>
        <w:ind w:left="1068"/>
        <w:rPr/>
      </w:pPr>
      <w:r w:rsidDel="00000000" w:rsidR="00000000" w:rsidRPr="00000000">
        <w:rPr>
          <w:rtl w:val="0"/>
        </w:rPr>
        <w:t xml:space="preserve">Objectif : développer la pratique du vélo en créant un linéaire continu d’itinéraires sécurisés.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Améliorer la desserte cycliste des pôles d’échanges (co-financement avec collectivités), établissements scolaires, gares, …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Mettre en œuvre la continuité d’itinéraires en lien avec les véloroutes et voies vertes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Identifier et traiter les points sensibles sur les itinéraires les plus circulés.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Outils : ateliers citoyens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1428" w:hanging="360"/>
        <w:rPr>
          <w:sz w:val="24"/>
          <w:szCs w:val="24"/>
        </w:rPr>
      </w:pPr>
      <w:r w:rsidDel="00000000" w:rsidR="00000000" w:rsidRPr="00000000">
        <w:rPr>
          <w:color w:val="8064a2"/>
          <w:sz w:val="24"/>
          <w:szCs w:val="24"/>
          <w:rtl w:val="0"/>
        </w:rPr>
        <w:t xml:space="preserve">Volonté de passer 800 à 1600 kms d’aménagements cyclables (bandes, pistes, voies vertes) et de rendre le réseau plus lisible. </w:t>
      </w:r>
    </w:p>
    <w:p w:rsidR="00000000" w:rsidDel="00000000" w:rsidP="00000000" w:rsidRDefault="00000000" w:rsidRPr="00000000" w14:paraId="00000041">
      <w:pPr>
        <w:spacing w:after="0" w:line="240" w:lineRule="auto"/>
        <w:ind w:left="1428" w:firstLine="0"/>
        <w:rPr>
          <w:color w:val="8064a2"/>
          <w:sz w:val="24"/>
          <w:szCs w:val="24"/>
        </w:rPr>
      </w:pPr>
      <w:r w:rsidDel="00000000" w:rsidR="00000000" w:rsidRPr="00000000">
        <w:rPr>
          <w:color w:val="8064a2"/>
          <w:sz w:val="24"/>
          <w:szCs w:val="24"/>
          <w:rtl w:val="0"/>
        </w:rPr>
        <w:t xml:space="preserve">Projet et diagnostic construit avec l’expertise de l’ADAV.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144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Grands axes issus de l’enquête mobilité rurale menée en 2018-2019 par le Département du Nord : Augmenter la mobilité active chez les jeunes et les personnes fragiles, favoriser les alternatives à l’autosolisme, relocaliser les commerces et services publics, favoriser le télétravail -&gt; Objecitf d’une délibération avant l’été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8064a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Vélo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Etude sur les abris-vélos des collèges (utilisation, sécurité, …)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color w:val="8064a2"/>
          <w:rtl w:val="0"/>
        </w:rPr>
        <w:t xml:space="preserve">1,5 million par an pour développer le réseau cyclable aux côté des communes (obj : améliorer la qualité et mieux mailler le territoire).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color w:val="8064a2"/>
          <w:u w:val="none"/>
        </w:rPr>
      </w:pPr>
      <w:r w:rsidDel="00000000" w:rsidR="00000000" w:rsidRPr="00000000">
        <w:rPr>
          <w:color w:val="8064a2"/>
          <w:rtl w:val="0"/>
        </w:rPr>
        <w:t xml:space="preserve">Création d’un réseau de points noeuds pour rendre  lisible le territoire à vélo et faciliter les liaisons intercommunes. Le projet a été présenté en juin  pour les Flandres et doit être retravaillé avec les collectivités (signalétique + un pont de traitement de points durs comme le pont de Watten) en co-financement.  </w:t>
      </w:r>
    </w:p>
    <w:p w:rsidR="00000000" w:rsidDel="00000000" w:rsidP="00000000" w:rsidRDefault="00000000" w:rsidRPr="00000000" w14:paraId="00000053">
      <w:pPr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Projets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 en place d’un nouveau schéma directeur cyclable basé sur les liaisons entre villes, la mise en valeur d’itinéraires et le traitement des points durs (avec l’ADAV)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Appel à projet </w:t>
      </w:r>
      <w:r w:rsidDel="00000000" w:rsidR="00000000" w:rsidRPr="00000000">
        <w:rPr>
          <w:rtl w:val="0"/>
        </w:rPr>
        <w:t xml:space="preserve">voirie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vers les collectivités (les financements seront soumis au respect du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schéma directeur cyclable)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Sensibilisation vélo dans les collèges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 en œuvre d'un service de location longue durée de vélos pliants proposé aux abonnés du réseau Arc en Ciel (périmètres 1 et 2).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Les vélos pliants sont transportables dans les véhicules de tous les réseaux de transport en commun (réseau interurbain, réseaux urbains et réseau TER) facilitant ainsi l'utilisation de ces derniers.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Financement :</w:t>
        <w:br w:type="textWrapping"/>
        <w:t xml:space="preserve">Le budget global s'élève à 66 384 €, la participation du Département est de 45 000 € (soit 68 % environ). A PRIORI CE SERVICE NE FONCTIONNE PLUS</w:t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Réalisation </w:t>
      </w:r>
      <w:r w:rsidDel="00000000" w:rsidR="00000000" w:rsidRPr="00000000">
        <w:rPr>
          <w:b w:val="1"/>
          <w:rtl w:val="0"/>
        </w:rPr>
        <w:t xml:space="preserve">d’une étude par le CG62 et 59 sur l’offre de coivoiturage</w:t>
      </w:r>
      <w:r w:rsidDel="00000000" w:rsidR="00000000" w:rsidRPr="00000000">
        <w:rPr>
          <w:rtl w:val="0"/>
        </w:rPr>
        <w:t xml:space="preserve"> (carte des flux, équipements et services, …). Enquête sur 3 sites 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Aire sauvage à Colembert (sortie d’un échangeur), aire de Lumbres, 4 cantons. Attentes : vidéosurveillance, intermodalité TC, bornes de rechargement, dépose minute, abris modes doux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Réalisation d’une </w:t>
      </w:r>
      <w:r w:rsidDel="00000000" w:rsidR="00000000" w:rsidRPr="00000000">
        <w:rPr>
          <w:b w:val="1"/>
          <w:rtl w:val="0"/>
        </w:rPr>
        <w:t xml:space="preserve">carte des besoins en place de covoiturage</w:t>
      </w:r>
      <w:r w:rsidDel="00000000" w:rsidR="00000000" w:rsidRPr="00000000">
        <w:rPr>
          <w:rtl w:val="0"/>
        </w:rPr>
        <w:t xml:space="preserve"> et d’un schéma cible d’aires de covoiturage. 150 aires, 5700 places à créer ou identifier.</w:t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Lancement d’un appel à projets Mobilité en 2012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Liste des lauréats sur : </w:t>
      </w:r>
    </w:p>
    <w:p w:rsidR="00000000" w:rsidDel="00000000" w:rsidP="00000000" w:rsidRDefault="00000000" w:rsidRPr="00000000" w14:paraId="00000068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https://lenord.fr/jcms/prd1_238582/appel-a-projets-mobilite-2012#mobilitedouce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Les projets locaux sont intégrés sur les fiches par territoire.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Les projets transversaux :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Cartographie des aménagements cyclables de l’ADAV,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Actions de covoiturage de Wimoov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Sensibilisation à la sécurité routière à destination des jeunes (lycéens et étudiants)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covoiturage nocturne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renforcement de la formation des publics accompagnés par "Bougez vers l'emploi"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Le département du Nord mène une </w:t>
      </w:r>
      <w:r w:rsidDel="00000000" w:rsidR="00000000" w:rsidRPr="00000000">
        <w:rPr>
          <w:b w:val="1"/>
          <w:color w:val="7030a0"/>
          <w:rtl w:val="0"/>
        </w:rPr>
        <w:t xml:space="preserve">étude mobilité en milieu rural</w:t>
      </w:r>
      <w:r w:rsidDel="00000000" w:rsidR="00000000" w:rsidRPr="00000000">
        <w:rPr>
          <w:color w:val="7030a0"/>
          <w:rtl w:val="0"/>
        </w:rPr>
        <w:t xml:space="preserve"> (demande du VP à la ruralité et environnement, Patrick Valois).</w:t>
      </w:r>
    </w:p>
    <w:p w:rsidR="00000000" w:rsidDel="00000000" w:rsidP="00000000" w:rsidRDefault="00000000" w:rsidRPr="00000000" w14:paraId="00000072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Un bureau d’étude, Auxilia Caudra a été missionné sur le sujet.</w:t>
      </w:r>
    </w:p>
    <w:p w:rsidR="00000000" w:rsidDel="00000000" w:rsidP="00000000" w:rsidRDefault="00000000" w:rsidRPr="00000000" w14:paraId="00000073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L’objectif est de partir des besoins des habitants et d’un diagnostic de l’existant (aides à la mobilité, offre en TC, …) pour proposer un bouquet d’actions / services à mettre en place via une délibération pour faciliter la mobilité en milieu rural en collaboration avec les communautés de communes. </w:t>
      </w:r>
    </w:p>
    <w:p w:rsidR="00000000" w:rsidDel="00000000" w:rsidP="00000000" w:rsidRDefault="00000000" w:rsidRPr="00000000" w14:paraId="00000074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Le vice-président, Patrick Valois, précise qu’il n’y aura pas de système de transport en commun supplémentaire, mais qu’il s’agit d’optimiser l’existant et de coordonner l’offre avec les structures locales.  </w:t>
      </w:r>
    </w:p>
    <w:p w:rsidR="00000000" w:rsidDel="00000000" w:rsidP="00000000" w:rsidRDefault="00000000" w:rsidRPr="00000000" w14:paraId="00000075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Enquête uniquement en ligne : communication par le magazine le nord et appui sur les relais départementaux.</w:t>
      </w:r>
    </w:p>
    <w:p w:rsidR="00000000" w:rsidDel="00000000" w:rsidP="00000000" w:rsidRDefault="00000000" w:rsidRPr="00000000" w14:paraId="00000076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1000 personnes ont répondu à l’enquête.</w:t>
      </w:r>
    </w:p>
    <w:p w:rsidR="00000000" w:rsidDel="00000000" w:rsidP="00000000" w:rsidRDefault="00000000" w:rsidRPr="00000000" w14:paraId="00000077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Un groupe de travail « mobilité ruralité » a été mis en place à la rentrée avec un focus groupe d’habitants  -&gt; Le Crem y est convié et on pourra associer nos correspondants locaux.</w:t>
      </w:r>
    </w:p>
    <w:p w:rsidR="00000000" w:rsidDel="00000000" w:rsidP="00000000" w:rsidRDefault="00000000" w:rsidRPr="00000000" w14:paraId="00000078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u w:val="single"/>
          <w:rtl w:val="0"/>
        </w:rPr>
        <w:t xml:space="preserve">Retours du focus groupe habitants</w:t>
      </w:r>
      <w:r w:rsidDel="00000000" w:rsidR="00000000" w:rsidRPr="00000000">
        <w:rPr>
          <w:color w:val="7030a0"/>
          <w:rtl w:val="0"/>
        </w:rPr>
        <w:t xml:space="preserve"> : améliorer conditions de mobilité des jeunes, développer le vélo, augmenter l’info sur les aides contre la perte d’autonomie des personnes agées, mieux prendre en compte les utilisateurs, organiser le covoiturage-autostop.</w:t>
      </w:r>
    </w:p>
    <w:p w:rsidR="00000000" w:rsidDel="00000000" w:rsidP="00000000" w:rsidRDefault="00000000" w:rsidRPr="00000000" w14:paraId="00000079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u w:val="single"/>
          <w:rtl w:val="0"/>
        </w:rPr>
        <w:t xml:space="preserve">Retours des 1ers groupes mobilité</w:t>
      </w:r>
      <w:r w:rsidDel="00000000" w:rsidR="00000000" w:rsidRPr="00000000">
        <w:rPr>
          <w:color w:val="7030a0"/>
          <w:rtl w:val="0"/>
        </w:rPr>
        <w:t xml:space="preserve"> : améliorer les transports collectifs (</w:t>
      </w:r>
      <w:r w:rsidDel="00000000" w:rsidR="00000000" w:rsidRPr="00000000">
        <w:rPr>
          <w:i w:val="1"/>
          <w:color w:val="7030a0"/>
          <w:rtl w:val="0"/>
        </w:rPr>
        <w:t xml:space="preserve">TAD, flottes communales sous-utilisées, revoir horaires TC existants, navettes salariés avec gros employeurs</w:t>
      </w:r>
      <w:r w:rsidDel="00000000" w:rsidR="00000000" w:rsidRPr="00000000">
        <w:rPr>
          <w:color w:val="7030a0"/>
          <w:rtl w:val="0"/>
        </w:rPr>
        <w:t xml:space="preserve">), mieux informer et communiquer (</w:t>
      </w:r>
      <w:r w:rsidDel="00000000" w:rsidR="00000000" w:rsidRPr="00000000">
        <w:rPr>
          <w:i w:val="1"/>
          <w:color w:val="7030a0"/>
          <w:rtl w:val="0"/>
        </w:rPr>
        <w:t xml:space="preserve">point d’info, sensibilisation des enfants, tests</w:t>
      </w:r>
      <w:r w:rsidDel="00000000" w:rsidR="00000000" w:rsidRPr="00000000">
        <w:rPr>
          <w:color w:val="7030a0"/>
          <w:rtl w:val="0"/>
        </w:rPr>
        <w:t xml:space="preserve">) rapprocher les services des villages et habitants (</w:t>
      </w:r>
      <w:r w:rsidDel="00000000" w:rsidR="00000000" w:rsidRPr="00000000">
        <w:rPr>
          <w:i w:val="1"/>
          <w:color w:val="7030a0"/>
          <w:rtl w:val="0"/>
        </w:rPr>
        <w:t xml:space="preserve">points collectifs de livraison, camion service public itinérant, commerces itinérants, distributeurs pains/légumes, espaces coworking</w:t>
      </w:r>
      <w:r w:rsidDel="00000000" w:rsidR="00000000" w:rsidRPr="00000000">
        <w:rPr>
          <w:color w:val="7030a0"/>
          <w:rtl w:val="0"/>
        </w:rPr>
        <w:t xml:space="preserve">), favoriser les mobilités actives (t</w:t>
      </w:r>
      <w:r w:rsidDel="00000000" w:rsidR="00000000" w:rsidRPr="00000000">
        <w:rPr>
          <w:i w:val="1"/>
          <w:color w:val="7030a0"/>
          <w:rtl w:val="0"/>
        </w:rPr>
        <w:t xml:space="preserve">raitement des coupures, rabattement vers les gares, organisation pédibus/vélobus, faire découvrir VAE</w:t>
      </w:r>
      <w:r w:rsidDel="00000000" w:rsidR="00000000" w:rsidRPr="00000000">
        <w:rPr>
          <w:color w:val="7030a0"/>
          <w:rtl w:val="0"/>
        </w:rPr>
        <w:t xml:space="preserve">), accompagner et conseiller les publics dans leur mobilité (</w:t>
      </w:r>
      <w:r w:rsidDel="00000000" w:rsidR="00000000" w:rsidRPr="00000000">
        <w:rPr>
          <w:i w:val="1"/>
          <w:color w:val="7030a0"/>
          <w:rtl w:val="0"/>
        </w:rPr>
        <w:t xml:space="preserve">développer usage du numérique, conseil à l’achat, garage solidaire</w:t>
      </w:r>
      <w:r w:rsidDel="00000000" w:rsidR="00000000" w:rsidRPr="00000000">
        <w:rPr>
          <w:color w:val="7030a0"/>
          <w:rtl w:val="0"/>
        </w:rPr>
        <w:t xml:space="preserve">), favoriser le partage de la voiture (</w:t>
      </w:r>
      <w:r w:rsidDel="00000000" w:rsidR="00000000" w:rsidRPr="00000000">
        <w:rPr>
          <w:i w:val="1"/>
          <w:color w:val="7030a0"/>
          <w:rtl w:val="0"/>
        </w:rPr>
        <w:t xml:space="preserve">autopartage de véhicules communaux, autostop organisé, covoiturage à l’échelle des bassins d’emploi, répertorier aires de covoiturage</w:t>
      </w:r>
      <w:r w:rsidDel="00000000" w:rsidR="00000000" w:rsidRPr="00000000">
        <w:rPr>
          <w:color w:val="7030a0"/>
          <w:rtl w:val="0"/>
        </w:rPr>
        <w:t xml:space="preserve">), revitaliser le coeur des bourgs (</w:t>
      </w:r>
      <w:r w:rsidDel="00000000" w:rsidR="00000000" w:rsidRPr="00000000">
        <w:rPr>
          <w:i w:val="1"/>
          <w:color w:val="7030a0"/>
          <w:rtl w:val="0"/>
        </w:rPr>
        <w:t xml:space="preserve">regroupement de services/commerces)</w:t>
      </w:r>
      <w:r w:rsidDel="00000000" w:rsidR="00000000" w:rsidRPr="00000000">
        <w:rPr>
          <w:color w:val="7030a0"/>
          <w:rtl w:val="0"/>
        </w:rPr>
        <w:t xml:space="preserve">, s’adapter aux rythmes de vie (</w:t>
      </w:r>
      <w:r w:rsidDel="00000000" w:rsidR="00000000" w:rsidRPr="00000000">
        <w:rPr>
          <w:i w:val="1"/>
          <w:color w:val="7030a0"/>
          <w:rtl w:val="0"/>
        </w:rPr>
        <w:t xml:space="preserve">permanences décentralisées, adapter horaires au public</w:t>
      </w:r>
      <w:r w:rsidDel="00000000" w:rsidR="00000000" w:rsidRPr="00000000">
        <w:rPr>
          <w:color w:val="7030a0"/>
          <w:rtl w:val="0"/>
        </w:rPr>
        <w:t xml:space="preserve">).</w:t>
      </w:r>
    </w:p>
    <w:p w:rsidR="00000000" w:rsidDel="00000000" w:rsidP="00000000" w:rsidRDefault="00000000" w:rsidRPr="00000000" w14:paraId="0000007A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L’ADAV a participé à 2 rencontres locales sur 4 territoires (Flandre, Douai-Valenciennes, Cambrai, Avesnois</w:t>
      </w:r>
    </w:p>
    <w:p w:rsidR="00000000" w:rsidDel="00000000" w:rsidP="00000000" w:rsidRDefault="00000000" w:rsidRPr="00000000" w14:paraId="0000007B">
      <w:pPr>
        <w:ind w:left="720" w:firstLine="0"/>
        <w:rPr>
          <w:color w:val="7030a0"/>
        </w:rPr>
      </w:pPr>
      <w:r w:rsidDel="00000000" w:rsidR="00000000" w:rsidRPr="00000000">
        <w:rPr>
          <w:color w:val="7030a0"/>
          <w:rtl w:val="0"/>
        </w:rPr>
        <w:t xml:space="preserve">Contact : Goffrey Denoyelle </w:t>
      </w:r>
    </w:p>
    <w:p w:rsidR="00000000" w:rsidDel="00000000" w:rsidP="00000000" w:rsidRDefault="00000000" w:rsidRPr="00000000" w14:paraId="0000007C">
      <w:pPr>
        <w:ind w:left="720" w:firstLine="0"/>
        <w:rPr>
          <w:i w:val="1"/>
          <w:color w:val="7030a0"/>
        </w:rPr>
      </w:pPr>
      <w:r w:rsidDel="00000000" w:rsidR="00000000" w:rsidRPr="00000000">
        <w:rPr>
          <w:i w:val="1"/>
          <w:color w:val="7030a0"/>
          <w:rtl w:val="0"/>
        </w:rPr>
        <w:t xml:space="preserve">Le département doit voter une délibération au 1er semestre 2019.</w:t>
      </w:r>
    </w:p>
    <w:p w:rsidR="00000000" w:rsidDel="00000000" w:rsidP="00000000" w:rsidRDefault="00000000" w:rsidRPr="00000000" w14:paraId="0000007D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8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89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8D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8F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s://lenord.fr/jcms/prd1_238582/appel-a-projets-mobilite-2012#mobilitedou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