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1190942" cy="533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942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DEPARTEMENT DU PAS-DE-CALAIS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tbl>
      <w:tblPr>
        <w:tblStyle w:val="Table1"/>
        <w:tblW w:w="892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143"/>
        <w:tblGridChange w:id="0">
          <w:tblGrid>
            <w:gridCol w:w="4785"/>
            <w:gridCol w:w="414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 déplacements/jour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Motifs de déplacements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Volume de déplacements selon l’heure et le motif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Variation des densités de population/km²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Taux d’occupation des voitures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1,07 par véhicule, volonté de passer à 1,17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 modale déplacements en nombre et en kilomètres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20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Aménagements cyclables (dont stationnement)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300 kms de véloroutes - voies vertes</w:t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color w:val="009a9b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Agenda 21 - Politique de développement du vélo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720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dates : 2013-2020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Vélo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CG62 a commandé à un bureau d’étude une étude sur les aménagements autour de 2 collèges (Pernes + Frévent)</w:t>
      </w:r>
    </w:p>
    <w:p w:rsidR="00000000" w:rsidDel="00000000" w:rsidP="00000000" w:rsidRDefault="00000000" w:rsidRPr="00000000" w14:paraId="00000029">
      <w:pPr>
        <w:ind w:firstLine="360"/>
        <w:rPr/>
      </w:pPr>
      <w:r w:rsidDel="00000000" w:rsidR="00000000" w:rsidRPr="00000000">
        <w:rPr>
          <w:rtl w:val="0"/>
        </w:rPr>
        <w:t xml:space="preserve">2015 : volonté d’augmenter vélo-éducation dans les collèges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Réalisation </w:t>
      </w:r>
      <w:r w:rsidDel="00000000" w:rsidR="00000000" w:rsidRPr="00000000">
        <w:rPr>
          <w:b w:val="1"/>
          <w:rtl w:val="0"/>
        </w:rPr>
        <w:t xml:space="preserve">d’une étude par le CG62 et 59 sur l’offre de coivoiturage</w:t>
      </w:r>
      <w:r w:rsidDel="00000000" w:rsidR="00000000" w:rsidRPr="00000000">
        <w:rPr>
          <w:rtl w:val="0"/>
        </w:rPr>
        <w:t xml:space="preserve"> (carte des flux, équipements et services, …). Enquête sur 3 sites 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Aire sauvage à Colembert (sortie d’un échangeur), aire de Lumbres, 4 cantons. Attentes : vidéosurveillance, intermodalité TC, bornes de rechargement, dépose minute, abris modes doux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Réalisation d’une </w:t>
      </w:r>
      <w:r w:rsidDel="00000000" w:rsidR="00000000" w:rsidRPr="00000000">
        <w:rPr>
          <w:b w:val="1"/>
          <w:rtl w:val="0"/>
        </w:rPr>
        <w:t xml:space="preserve">carte des besoins en place de covoiturage</w:t>
      </w:r>
      <w:r w:rsidDel="00000000" w:rsidR="00000000" w:rsidRPr="00000000">
        <w:rPr>
          <w:rtl w:val="0"/>
        </w:rPr>
        <w:t xml:space="preserve"> et d’un schéma cible d’aires de covoiturage. 150 aires, 5700 places à créer ou identifier.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3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3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40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44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46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