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275" w:rsidRDefault="00DD5DCE">
      <w:pPr>
        <w:rPr>
          <w:b/>
          <w:sz w:val="32"/>
          <w:szCs w:val="32"/>
        </w:rPr>
      </w:pPr>
      <w:r>
        <w:rPr>
          <w:noProof/>
        </w:rPr>
        <mc:AlternateContent>
          <mc:Choice Requires="wps">
            <w:drawing>
              <wp:anchor distT="45720" distB="45720" distL="114300" distR="114300" simplePos="0" relativeHeight="251658240" behindDoc="0" locked="0" layoutInCell="1" hidden="0" allowOverlap="1">
                <wp:simplePos x="0" y="0"/>
                <wp:positionH relativeFrom="column">
                  <wp:posOffset>4034155</wp:posOffset>
                </wp:positionH>
                <wp:positionV relativeFrom="paragraph">
                  <wp:posOffset>348615</wp:posOffset>
                </wp:positionV>
                <wp:extent cx="2081530" cy="1095375"/>
                <wp:effectExtent l="0" t="0" r="13970" b="28575"/>
                <wp:wrapSquare wrapText="bothSides" distT="45720" distB="45720" distL="114300" distR="114300"/>
                <wp:docPr id="218" name=""/>
                <wp:cNvGraphicFramePr/>
                <a:graphic xmlns:a="http://schemas.openxmlformats.org/drawingml/2006/main">
                  <a:graphicData uri="http://schemas.microsoft.com/office/word/2010/wordprocessingShape">
                    <wps:wsp>
                      <wps:cNvSpPr/>
                      <wps:spPr>
                        <a:xfrm>
                          <a:off x="0" y="0"/>
                          <a:ext cx="2081530" cy="10953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C1275" w:rsidRDefault="00DD5DCE">
                            <w:pPr>
                              <w:spacing w:line="277" w:lineRule="auto"/>
                              <w:textDirection w:val="btLr"/>
                            </w:pPr>
                            <w:r>
                              <w:rPr>
                                <w:noProof/>
                                <w:sz w:val="22"/>
                                <w:szCs w:val="22"/>
                              </w:rPr>
                              <w:drawing>
                                <wp:inline distT="0" distB="0" distL="0" distR="0" wp14:anchorId="10343C7E" wp14:editId="3F0178B4">
                                  <wp:extent cx="2134080" cy="981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9881" cy="983742"/>
                                          </a:xfrm>
                                          <a:prstGeom prst="rect">
                                            <a:avLst/>
                                          </a:prstGeom>
                                          <a:noFill/>
                                        </pic:spPr>
                                      </pic:pic>
                                    </a:graphicData>
                                  </a:graphic>
                                </wp:inline>
                              </w:drawing>
                            </w:r>
                          </w:p>
                          <w:p w:rsidR="005C1275" w:rsidRDefault="005C1275">
                            <w:pPr>
                              <w:spacing w:line="277" w:lineRule="auto"/>
                              <w:textDirection w:val="btLr"/>
                            </w:pPr>
                          </w:p>
                          <w:p w:rsidR="005C1275" w:rsidRDefault="005C1275">
                            <w:pPr>
                              <w:spacing w:line="277" w:lineRule="auto"/>
                              <w:textDirection w:val="btLr"/>
                            </w:pPr>
                          </w:p>
                          <w:p w:rsidR="005C1275" w:rsidRDefault="005C1275">
                            <w:pPr>
                              <w:spacing w:line="277"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_x0000_s1026" style="position:absolute;margin-left:317.65pt;margin-top:27.45pt;width:163.9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">
                <v:stroke startarrowwidth="narrow" startarrowlength="short" endarrowwidth="narrow" endarrowlength="short"/>
                <v:textbox inset="2.53958mm,1.2694mm,2.53958mm,1.2694mm">
                  <w:txbxContent>
                    <w:p w:rsidR="005C1275" w:rsidRDefault="00DD5DCE">
                      <w:pPr>
                        <w:spacing w:line="277" w:lineRule="auto"/>
                        <w:textDirection w:val="btLr"/>
                      </w:pPr>
                      <w:r>
                        <w:rPr>
                          <w:noProof/>
                          <w:sz w:val="22"/>
                          <w:szCs w:val="22"/>
                        </w:rPr>
                        <w:drawing>
                          <wp:inline distT="0" distB="0" distL="0" distR="0" wp14:anchorId="10343C7E" wp14:editId="3F0178B4">
                            <wp:extent cx="2134080" cy="981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9881" cy="983742"/>
                                    </a:xfrm>
                                    <a:prstGeom prst="rect">
                                      <a:avLst/>
                                    </a:prstGeom>
                                    <a:noFill/>
                                  </pic:spPr>
                                </pic:pic>
                              </a:graphicData>
                            </a:graphic>
                          </wp:inline>
                        </w:drawing>
                      </w:r>
                    </w:p>
                    <w:p w:rsidR="005C1275" w:rsidRDefault="005C1275">
                      <w:pPr>
                        <w:spacing w:line="277" w:lineRule="auto"/>
                        <w:textDirection w:val="btLr"/>
                      </w:pPr>
                    </w:p>
                    <w:p w:rsidR="005C1275" w:rsidRDefault="005C1275">
                      <w:pPr>
                        <w:spacing w:line="277" w:lineRule="auto"/>
                        <w:textDirection w:val="btLr"/>
                      </w:pPr>
                    </w:p>
                    <w:p w:rsidR="005C1275" w:rsidRDefault="005C1275">
                      <w:pPr>
                        <w:spacing w:line="277" w:lineRule="auto"/>
                        <w:textDirection w:val="btLr"/>
                      </w:pPr>
                    </w:p>
                  </w:txbxContent>
                </v:textbox>
                <w10:wrap type="square"/>
              </v:rect>
            </w:pict>
          </mc:Fallback>
        </mc:AlternateContent>
      </w:r>
    </w:p>
    <w:p w:rsidR="00DD5DCE" w:rsidRPr="00DD5DCE" w:rsidRDefault="00DD5DCE" w:rsidP="00DD5DCE">
      <w:pPr>
        <w:rPr>
          <w:b/>
          <w:sz w:val="32"/>
          <w:szCs w:val="32"/>
        </w:rPr>
      </w:pPr>
      <w:r w:rsidRPr="00DD5DCE">
        <w:rPr>
          <w:b/>
          <w:sz w:val="32"/>
          <w:szCs w:val="32"/>
        </w:rPr>
        <w:t xml:space="preserve">VELO EGAUX </w:t>
      </w:r>
    </w:p>
    <w:p w:rsidR="005C1275" w:rsidRDefault="00DD5DCE">
      <w:pPr>
        <w:rPr>
          <w:i/>
        </w:rPr>
      </w:pPr>
      <w:r>
        <w:rPr>
          <w:i/>
        </w:rPr>
        <w:t>P</w:t>
      </w:r>
      <w:r w:rsidRPr="00DD5DCE">
        <w:rPr>
          <w:i/>
        </w:rPr>
        <w:t xml:space="preserve">rogramme CEE porté par la FUB </w:t>
      </w:r>
      <w:r>
        <w:rPr>
          <w:i/>
        </w:rPr>
        <w:t>Editions</w:t>
      </w:r>
    </w:p>
    <w:p w:rsidR="005C1275" w:rsidRDefault="00DD5DCE">
      <w:pPr>
        <w:rPr>
          <w:i/>
        </w:rPr>
      </w:pPr>
      <w:r>
        <w:rPr>
          <w:i/>
        </w:rPr>
        <w:t>Lancement fin 2024</w:t>
      </w:r>
    </w:p>
    <w:p w:rsidR="005C1275" w:rsidRDefault="005C1275"/>
    <w:p w:rsidR="00DD5DCE" w:rsidRPr="007C34A8" w:rsidRDefault="00DD5DCE" w:rsidP="00DD5DCE">
      <w:pPr>
        <w:rPr>
          <w:color w:val="000000" w:themeColor="text1"/>
        </w:rPr>
      </w:pPr>
      <w:r>
        <w:t xml:space="preserve">Site internet : </w:t>
      </w:r>
      <w:hyperlink r:id="rId9" w:history="1">
        <w:r w:rsidRPr="007203BF">
          <w:rPr>
            <w:rStyle w:val="Lienhypertexte"/>
          </w:rPr>
          <w:t>https://www.veloegaux.fr/</w:t>
        </w:r>
      </w:hyperlink>
      <w:r>
        <w:rPr>
          <w:color w:val="000000" w:themeColor="text1"/>
        </w:rPr>
        <w:t xml:space="preserve"> </w:t>
      </w:r>
    </w:p>
    <w:p w:rsidR="005C1275" w:rsidRDefault="005C1275"/>
    <w:p w:rsidR="005C1275" w:rsidRDefault="005C1275"/>
    <w:p w:rsidR="005C1275" w:rsidRDefault="00DD5DCE">
      <w:r>
        <w:t>Mots clés : Mobilité inclusive, promotion du vélo, accompagnement personnalisé, QPV</w:t>
      </w:r>
    </w:p>
    <w:p w:rsidR="005C1275" w:rsidRDefault="005C1275"/>
    <w:p w:rsidR="005C1275" w:rsidRDefault="00DD5DCE">
      <w:pPr>
        <w:rPr>
          <w:i/>
        </w:rPr>
      </w:pPr>
      <w:r>
        <w:rPr>
          <w:i/>
        </w:rPr>
        <w:t>En quoi ce document est une source d’inspiration pour les mobilités durables dans les QPV des Hauts-de-France ?</w:t>
      </w:r>
    </w:p>
    <w:p w:rsidR="005C1275" w:rsidRDefault="005C1275">
      <w:pPr>
        <w:rPr>
          <w:sz w:val="22"/>
          <w:szCs w:val="22"/>
        </w:rPr>
      </w:pPr>
    </w:p>
    <w:p w:rsidR="00DD5DCE" w:rsidRPr="00DD5DCE" w:rsidRDefault="00DD5DCE" w:rsidP="00DD5DCE">
      <w:pPr>
        <w:rPr>
          <w:sz w:val="22"/>
          <w:szCs w:val="22"/>
        </w:rPr>
      </w:pPr>
      <w:r w:rsidRPr="00DD5DCE">
        <w:rPr>
          <w:sz w:val="22"/>
          <w:szCs w:val="22"/>
        </w:rPr>
        <w:t xml:space="preserve">Vélo-Egaux est un programme CEE porté par la FUB déployé sur 20 territoires dont 2 dans la région Hauts-de-France avec Espace Artois Mobilité et Lille Sud Insertion. </w:t>
      </w:r>
    </w:p>
    <w:p w:rsidR="00DD5DCE" w:rsidRPr="00DD5DCE" w:rsidRDefault="00DD5DCE" w:rsidP="00DD5DCE">
      <w:pPr>
        <w:rPr>
          <w:sz w:val="22"/>
          <w:szCs w:val="22"/>
        </w:rPr>
      </w:pPr>
    </w:p>
    <w:p w:rsidR="00DD5DCE" w:rsidRPr="00DD5DCE" w:rsidRDefault="00DD5DCE" w:rsidP="00DD5DCE">
      <w:pPr>
        <w:rPr>
          <w:sz w:val="22"/>
          <w:szCs w:val="22"/>
        </w:rPr>
      </w:pPr>
      <w:r w:rsidRPr="00DD5DCE">
        <w:rPr>
          <w:sz w:val="22"/>
          <w:szCs w:val="22"/>
        </w:rPr>
        <w:t xml:space="preserve">L’objectif du programme est de faciliter la pratique du vélo pour le public en difficulté financière d’une part pour permettre l’accès l’emploi mais aussi dans une perspective plus large d’acquérir de l’autonomie, faciliter l’accès aux loisirs et à la culture, sortir de son quartier. </w:t>
      </w:r>
    </w:p>
    <w:p w:rsidR="00DD5DCE" w:rsidRPr="00DD5DCE" w:rsidRDefault="00DD5DCE" w:rsidP="00DD5DCE">
      <w:pPr>
        <w:rPr>
          <w:sz w:val="22"/>
          <w:szCs w:val="22"/>
        </w:rPr>
      </w:pPr>
      <w:r w:rsidRPr="00DD5DCE">
        <w:rPr>
          <w:sz w:val="22"/>
          <w:szCs w:val="22"/>
        </w:rPr>
        <w:t xml:space="preserve">L’entrée dans le programme, réservée aux personnes majeurs, se fait sur des critères de ressources, ce qui le rend accessible aux travailleur aux revenus modestes, aux bénéficiaires du RSA ou ASS, aux demandeurs d’asile. </w:t>
      </w:r>
    </w:p>
    <w:p w:rsidR="00DD5DCE" w:rsidRPr="00DD5DCE" w:rsidRDefault="00DD5DCE" w:rsidP="00DD5DCE">
      <w:pPr>
        <w:rPr>
          <w:sz w:val="22"/>
          <w:szCs w:val="22"/>
        </w:rPr>
      </w:pPr>
      <w:r w:rsidRPr="00DD5DCE">
        <w:rPr>
          <w:sz w:val="22"/>
          <w:szCs w:val="22"/>
        </w:rPr>
        <w:t>La volonté est d’accompagner 15 000 bénéficiaires et de remettre 10 000 vélos en état.</w:t>
      </w:r>
    </w:p>
    <w:p w:rsidR="00DD5DCE" w:rsidRPr="00DD5DCE" w:rsidRDefault="00DD5DCE" w:rsidP="00DD5DCE">
      <w:pPr>
        <w:rPr>
          <w:sz w:val="22"/>
          <w:szCs w:val="22"/>
        </w:rPr>
      </w:pPr>
    </w:p>
    <w:p w:rsidR="00DD5DCE" w:rsidRPr="00DD5DCE" w:rsidRDefault="00DD5DCE" w:rsidP="00DD5DCE">
      <w:pPr>
        <w:rPr>
          <w:sz w:val="22"/>
          <w:szCs w:val="22"/>
        </w:rPr>
      </w:pPr>
      <w:r w:rsidRPr="00DD5DCE">
        <w:rPr>
          <w:sz w:val="22"/>
          <w:szCs w:val="22"/>
        </w:rPr>
        <w:t>Si certaines séances sont collectives, le programme apporte un parcours personnalisé aux bénéficiaires au travers de 6 à 20 séances avec la réalisation d’un diagnostic mobilité à vélo (enquêtes sur les habitudes et compétence à vélo), un module d’apprentissage pratique du vélo via une action de vélo-école (si cela s’avère nécessaire) avec également une approche sécurité routière, une initiation à la mécanique et l’entretien de base, une aide à l’acquisition gratuite d’un vélo remis en état par les ateliers partenaires.</w:t>
      </w:r>
    </w:p>
    <w:p w:rsidR="00DD5DCE" w:rsidRPr="00DD5DCE" w:rsidRDefault="00DD5DCE" w:rsidP="00DD5DCE">
      <w:pPr>
        <w:rPr>
          <w:sz w:val="22"/>
          <w:szCs w:val="22"/>
        </w:rPr>
      </w:pPr>
      <w:r w:rsidRPr="00DD5DCE">
        <w:rPr>
          <w:sz w:val="22"/>
          <w:szCs w:val="22"/>
        </w:rPr>
        <w:t xml:space="preserve">Le programme se distingue par une approche </w:t>
      </w:r>
      <w:proofErr w:type="spellStart"/>
      <w:r w:rsidRPr="00DD5DCE">
        <w:rPr>
          <w:sz w:val="22"/>
          <w:szCs w:val="22"/>
        </w:rPr>
        <w:t>multipartenariale</w:t>
      </w:r>
      <w:proofErr w:type="spellEnd"/>
      <w:r w:rsidRPr="00DD5DCE">
        <w:rPr>
          <w:sz w:val="22"/>
          <w:szCs w:val="22"/>
        </w:rPr>
        <w:t> et s’appuie sur un réseau d’intervenants locaux : ateliers de réparation, vélo-écoles, ainsi que sur les prescripteurs et associations d’usagers pour aiguiller le public vers le dispositif.</w:t>
      </w:r>
    </w:p>
    <w:p w:rsidR="00DD5DCE" w:rsidRPr="00DD5DCE" w:rsidRDefault="00DD5DCE" w:rsidP="00DD5DCE">
      <w:pPr>
        <w:rPr>
          <w:sz w:val="22"/>
          <w:szCs w:val="22"/>
        </w:rPr>
      </w:pPr>
    </w:p>
    <w:p w:rsidR="00DD5DCE" w:rsidRDefault="00DD5DCE" w:rsidP="00DD5DCE">
      <w:pPr>
        <w:rPr>
          <w:b/>
          <w:sz w:val="22"/>
          <w:szCs w:val="22"/>
        </w:rPr>
      </w:pPr>
    </w:p>
    <w:p w:rsidR="00DD5DCE" w:rsidRPr="00DD5DCE" w:rsidRDefault="00DD5DCE" w:rsidP="00DD5DCE">
      <w:pPr>
        <w:rPr>
          <w:b/>
          <w:sz w:val="22"/>
          <w:szCs w:val="22"/>
        </w:rPr>
      </w:pPr>
      <w:r w:rsidRPr="00DD5DCE">
        <w:rPr>
          <w:b/>
          <w:sz w:val="22"/>
          <w:szCs w:val="22"/>
        </w:rPr>
        <w:t xml:space="preserve">Ou en est-on ? </w:t>
      </w:r>
    </w:p>
    <w:p w:rsidR="00DD5DCE" w:rsidRPr="00DD5DCE" w:rsidRDefault="00DD5DCE" w:rsidP="00DD5DCE">
      <w:pPr>
        <w:rPr>
          <w:sz w:val="22"/>
          <w:szCs w:val="22"/>
        </w:rPr>
      </w:pPr>
      <w:r w:rsidRPr="00DD5DCE">
        <w:rPr>
          <w:sz w:val="22"/>
          <w:szCs w:val="22"/>
        </w:rPr>
        <w:t xml:space="preserve">Le programme a été lancé fin 2024 et il est trop tôt pour avoir en analyser les résultats. </w:t>
      </w:r>
    </w:p>
    <w:p w:rsidR="00DD5DCE" w:rsidRPr="00DD5DCE" w:rsidRDefault="00DD5DCE" w:rsidP="00DD5DCE">
      <w:pPr>
        <w:rPr>
          <w:sz w:val="22"/>
          <w:szCs w:val="22"/>
        </w:rPr>
      </w:pPr>
      <w:r w:rsidRPr="00DD5DCE">
        <w:rPr>
          <w:sz w:val="22"/>
          <w:szCs w:val="22"/>
        </w:rPr>
        <w:t xml:space="preserve">Deux structures en région Hauts-de-France ont été retenues comme relais du programme. </w:t>
      </w:r>
    </w:p>
    <w:p w:rsidR="00DD5DCE" w:rsidRPr="00DD5DCE" w:rsidRDefault="00DD5DCE" w:rsidP="00DD5DCE">
      <w:pPr>
        <w:numPr>
          <w:ilvl w:val="0"/>
          <w:numId w:val="1"/>
        </w:numPr>
        <w:rPr>
          <w:sz w:val="22"/>
          <w:szCs w:val="22"/>
        </w:rPr>
      </w:pPr>
      <w:r w:rsidRPr="00DD5DCE">
        <w:rPr>
          <w:sz w:val="22"/>
          <w:szCs w:val="22"/>
        </w:rPr>
        <w:t>Lille-Sud-Insertion en collaboration avec l’association Passerelles</w:t>
      </w:r>
    </w:p>
    <w:p w:rsidR="00DD5DCE" w:rsidRPr="00DD5DCE" w:rsidRDefault="00DD5DCE" w:rsidP="00DD5DCE">
      <w:pPr>
        <w:numPr>
          <w:ilvl w:val="0"/>
          <w:numId w:val="1"/>
        </w:numPr>
        <w:rPr>
          <w:sz w:val="22"/>
          <w:szCs w:val="22"/>
        </w:rPr>
      </w:pPr>
      <w:r w:rsidRPr="00DD5DCE">
        <w:rPr>
          <w:sz w:val="22"/>
          <w:szCs w:val="22"/>
        </w:rPr>
        <w:t xml:space="preserve">Espace Artois Mobilité (plateforme de mobilité inclusive) vise l’accompagnement de 500 en 2 ans sur pour les territoires de la CABBALR, la CAHC et la CALL, soit 150 communes. </w:t>
      </w:r>
    </w:p>
    <w:p w:rsidR="005C1275" w:rsidRDefault="005C1275">
      <w:pPr>
        <w:rPr>
          <w:sz w:val="22"/>
          <w:szCs w:val="22"/>
        </w:rPr>
      </w:pPr>
      <w:bookmarkStart w:id="0" w:name="_GoBack"/>
      <w:bookmarkEnd w:id="0"/>
    </w:p>
    <w:sectPr w:rsidR="005C1275">
      <w:headerReference w:type="default" r:id="rId10"/>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D5DCE">
      <w:pPr>
        <w:spacing w:after="0" w:line="240" w:lineRule="auto"/>
      </w:pPr>
      <w:r>
        <w:separator/>
      </w:r>
    </w:p>
  </w:endnote>
  <w:endnote w:type="continuationSeparator" w:id="0">
    <w:p w:rsidR="00000000" w:rsidRDefault="00DD5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auto"/>
    <w:pitch w:val="default"/>
  </w:font>
  <w:font w:name="Aptos Displa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D5DCE">
      <w:pPr>
        <w:spacing w:after="0" w:line="240" w:lineRule="auto"/>
      </w:pPr>
      <w:r>
        <w:separator/>
      </w:r>
    </w:p>
  </w:footnote>
  <w:footnote w:type="continuationSeparator" w:id="0">
    <w:p w:rsidR="00000000" w:rsidRDefault="00DD5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275" w:rsidRDefault="00DD5DCE">
    <w:pPr>
      <w:pBdr>
        <w:top w:val="nil"/>
        <w:left w:val="nil"/>
        <w:bottom w:val="nil"/>
        <w:right w:val="nil"/>
        <w:between w:val="nil"/>
      </w:pBdr>
      <w:tabs>
        <w:tab w:val="center" w:pos="4536"/>
        <w:tab w:val="right" w:pos="9072"/>
      </w:tabs>
      <w:spacing w:after="0" w:line="240" w:lineRule="auto"/>
      <w:jc w:val="right"/>
      <w:rPr>
        <w:b/>
        <w:color w:val="4A86E8"/>
      </w:rPr>
    </w:pPr>
    <w:r>
      <w:rPr>
        <w:b/>
        <w:color w:val="4A86E8"/>
      </w:rPr>
      <w:t>Recueil documentaire</w:t>
    </w:r>
  </w:p>
  <w:p w:rsidR="005C1275" w:rsidRDefault="005C1275">
    <w:pPr>
      <w:pBdr>
        <w:top w:val="nil"/>
        <w:left w:val="nil"/>
        <w:bottom w:val="nil"/>
        <w:right w:val="nil"/>
        <w:between w:val="nil"/>
      </w:pBdr>
      <w:tabs>
        <w:tab w:val="center" w:pos="4536"/>
        <w:tab w:val="right" w:pos="9072"/>
      </w:tabs>
      <w:spacing w:after="0" w:line="240" w:lineRule="auto"/>
      <w:jc w:val="right"/>
      <w:rPr>
        <w:b/>
        <w:color w:val="4A86E8"/>
      </w:rPr>
    </w:pPr>
  </w:p>
  <w:p w:rsidR="005C1275" w:rsidRDefault="00DD5DCE">
    <w:pPr>
      <w:pBdr>
        <w:top w:val="nil"/>
        <w:left w:val="nil"/>
        <w:bottom w:val="nil"/>
        <w:right w:val="nil"/>
        <w:between w:val="nil"/>
      </w:pBdr>
      <w:tabs>
        <w:tab w:val="center" w:pos="4536"/>
        <w:tab w:val="right" w:pos="9072"/>
      </w:tabs>
      <w:spacing w:after="0" w:line="240" w:lineRule="auto"/>
      <w:jc w:val="right"/>
      <w:rPr>
        <w:b/>
        <w:color w:val="4A86E8"/>
      </w:rPr>
    </w:pPr>
    <w:r>
      <w:rPr>
        <w:b/>
        <w:color w:val="4A86E8"/>
      </w:rPr>
      <w:t>Mobilités durables et partage de l’espace public dans les QPV des Hauts-de-France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3658B"/>
    <w:multiLevelType w:val="hybridMultilevel"/>
    <w:tmpl w:val="BEEE4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75"/>
    <w:rsid w:val="005C1275"/>
    <w:rsid w:val="00DD5D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F2DD21F"/>
  <w15:docId w15:val="{5358CC50-5BE6-4302-934D-FDA0511E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fr-FR" w:eastAsia="fr-FR"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E3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E3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E383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E383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E383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E383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E383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E383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E383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FE3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FE383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E383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E383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E383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E383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E383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E383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E383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E383C"/>
    <w:rPr>
      <w:rFonts w:eastAsiaTheme="majorEastAsia" w:cstheme="majorBidi"/>
      <w:color w:val="272727" w:themeColor="text1" w:themeTint="D8"/>
    </w:rPr>
  </w:style>
  <w:style w:type="character" w:customStyle="1" w:styleId="TitreCar">
    <w:name w:val="Titre Car"/>
    <w:basedOn w:val="Policepardfaut"/>
    <w:link w:val="Titre"/>
    <w:uiPriority w:val="10"/>
    <w:rsid w:val="00FE383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rPr>
      <w:color w:val="595959"/>
      <w:sz w:val="28"/>
      <w:szCs w:val="28"/>
    </w:rPr>
  </w:style>
  <w:style w:type="character" w:customStyle="1" w:styleId="Sous-titreCar">
    <w:name w:val="Sous-titre Car"/>
    <w:basedOn w:val="Policepardfaut"/>
    <w:link w:val="Sous-titre"/>
    <w:uiPriority w:val="11"/>
    <w:rsid w:val="00FE383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E383C"/>
    <w:pPr>
      <w:spacing w:before="160"/>
      <w:jc w:val="center"/>
    </w:pPr>
    <w:rPr>
      <w:i/>
      <w:iCs/>
      <w:color w:val="404040" w:themeColor="text1" w:themeTint="BF"/>
    </w:rPr>
  </w:style>
  <w:style w:type="character" w:customStyle="1" w:styleId="CitationCar">
    <w:name w:val="Citation Car"/>
    <w:basedOn w:val="Policepardfaut"/>
    <w:link w:val="Citation"/>
    <w:uiPriority w:val="29"/>
    <w:rsid w:val="00FE383C"/>
    <w:rPr>
      <w:i/>
      <w:iCs/>
      <w:color w:val="404040" w:themeColor="text1" w:themeTint="BF"/>
    </w:rPr>
  </w:style>
  <w:style w:type="paragraph" w:styleId="Paragraphedeliste">
    <w:name w:val="List Paragraph"/>
    <w:basedOn w:val="Normal"/>
    <w:uiPriority w:val="34"/>
    <w:qFormat/>
    <w:rsid w:val="00FE383C"/>
    <w:pPr>
      <w:ind w:left="720"/>
      <w:contextualSpacing/>
    </w:pPr>
  </w:style>
  <w:style w:type="character" w:styleId="Emphaseintense">
    <w:name w:val="Intense Emphasis"/>
    <w:basedOn w:val="Policepardfaut"/>
    <w:uiPriority w:val="21"/>
    <w:qFormat/>
    <w:rsid w:val="00FE383C"/>
    <w:rPr>
      <w:i/>
      <w:iCs/>
      <w:color w:val="0F4761" w:themeColor="accent1" w:themeShade="BF"/>
    </w:rPr>
  </w:style>
  <w:style w:type="paragraph" w:styleId="Citationintense">
    <w:name w:val="Intense Quote"/>
    <w:basedOn w:val="Normal"/>
    <w:next w:val="Normal"/>
    <w:link w:val="CitationintenseCar"/>
    <w:uiPriority w:val="30"/>
    <w:qFormat/>
    <w:rsid w:val="00FE3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E383C"/>
    <w:rPr>
      <w:i/>
      <w:iCs/>
      <w:color w:val="0F4761" w:themeColor="accent1" w:themeShade="BF"/>
    </w:rPr>
  </w:style>
  <w:style w:type="character" w:styleId="Rfrenceintense">
    <w:name w:val="Intense Reference"/>
    <w:basedOn w:val="Policepardfaut"/>
    <w:uiPriority w:val="32"/>
    <w:qFormat/>
    <w:rsid w:val="00FE383C"/>
    <w:rPr>
      <w:b/>
      <w:bCs/>
      <w:smallCaps/>
      <w:color w:val="0F4761" w:themeColor="accent1" w:themeShade="BF"/>
      <w:spacing w:val="5"/>
    </w:rPr>
  </w:style>
  <w:style w:type="paragraph" w:styleId="En-tte">
    <w:name w:val="header"/>
    <w:basedOn w:val="Normal"/>
    <w:link w:val="En-tteCar"/>
    <w:uiPriority w:val="99"/>
    <w:unhideWhenUsed/>
    <w:rsid w:val="00FE383C"/>
    <w:pPr>
      <w:tabs>
        <w:tab w:val="center" w:pos="4536"/>
        <w:tab w:val="right" w:pos="9072"/>
      </w:tabs>
      <w:spacing w:after="0" w:line="240" w:lineRule="auto"/>
    </w:pPr>
  </w:style>
  <w:style w:type="character" w:customStyle="1" w:styleId="En-tteCar">
    <w:name w:val="En-tête Car"/>
    <w:basedOn w:val="Policepardfaut"/>
    <w:link w:val="En-tte"/>
    <w:uiPriority w:val="99"/>
    <w:rsid w:val="00FE383C"/>
  </w:style>
  <w:style w:type="paragraph" w:styleId="Pieddepage">
    <w:name w:val="footer"/>
    <w:basedOn w:val="Normal"/>
    <w:link w:val="PieddepageCar"/>
    <w:uiPriority w:val="99"/>
    <w:unhideWhenUsed/>
    <w:rsid w:val="00FE38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383C"/>
  </w:style>
  <w:style w:type="character" w:styleId="Lienhypertexte">
    <w:name w:val="Hyperlink"/>
    <w:basedOn w:val="Policepardfaut"/>
    <w:uiPriority w:val="99"/>
    <w:unhideWhenUsed/>
    <w:rsid w:val="00DD5DC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eloegaux.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TjsYhh+dKRE7NxbrDZZlZeDxQ==">CgMxLjA4AHIhMUhxOUl4OVVwZU0tTjNwU3ZocTNtZEwwMWV5UlBhTHVL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360</Words>
  <Characters>1981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Pierre-Edouard Martin</dc:creator>
  <cp:lastModifiedBy>pc</cp:lastModifiedBy>
  <cp:revision>2</cp:revision>
  <dcterms:created xsi:type="dcterms:W3CDTF">2025-01-22T08:32:00Z</dcterms:created>
  <dcterms:modified xsi:type="dcterms:W3CDTF">2025-01-24T11:16:00Z</dcterms:modified>
</cp:coreProperties>
</file>