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4660900</wp:posOffset>
                </wp:positionH>
                <wp:positionV relativeFrom="paragraph">
                  <wp:posOffset>350520</wp:posOffset>
                </wp:positionV>
                <wp:extent cx="1452880" cy="1414145"/>
                <wp:effectExtent b="0" l="0" r="0" t="0"/>
                <wp:wrapSquare wrapText="bothSides" distB="45720" distT="45720" distL="114300" distR="114300"/>
                <wp:docPr id="218" name=""/>
                <a:graphic>
                  <a:graphicData uri="http://schemas.microsoft.com/office/word/2010/wordprocessingShape">
                    <wps:wsp>
                      <wps:cNvSpPr/>
                      <wps:cNvPr id="2" name="Shape 2"/>
                      <wps:spPr>
                        <a:xfrm>
                          <a:off x="4624323" y="3077690"/>
                          <a:ext cx="144335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t xml:space="preserve">Image couverture</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4660900</wp:posOffset>
                </wp:positionH>
                <wp:positionV relativeFrom="paragraph">
                  <wp:posOffset>350520</wp:posOffset>
                </wp:positionV>
                <wp:extent cx="1452880" cy="141414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52880" cy="1414145"/>
                        </a:xfrm>
                        <a:prstGeom prst="rect"/>
                        <a:ln/>
                      </pic:spPr>
                    </pic:pic>
                  </a:graphicData>
                </a:graphic>
              </wp:anchor>
            </w:drawing>
          </mc:Fallback>
        </mc:AlternateConten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Baromètre des mobilités du quotidien – Hauts-de-France 2023</w:t>
      </w:r>
    </w:p>
    <w:p w:rsidR="00000000" w:rsidDel="00000000" w:rsidP="00000000" w:rsidRDefault="00000000" w:rsidRPr="00000000" w14:paraId="00000003">
      <w:pPr>
        <w:rPr>
          <w:i w:val="1"/>
        </w:rPr>
      </w:pPr>
      <w:r w:rsidDel="00000000" w:rsidR="00000000" w:rsidRPr="00000000">
        <w:rPr>
          <w:i w:val="1"/>
          <w:rtl w:val="0"/>
        </w:rPr>
        <w:t xml:space="preserve">Wimoov</w:t>
      </w:r>
    </w:p>
    <w:p w:rsidR="00000000" w:rsidDel="00000000" w:rsidP="00000000" w:rsidRDefault="00000000" w:rsidRPr="00000000" w14:paraId="00000004">
      <w:pPr>
        <w:rPr>
          <w:i w:val="1"/>
        </w:rPr>
      </w:pPr>
      <w:r w:rsidDel="00000000" w:rsidR="00000000" w:rsidRPr="00000000">
        <w:rPr>
          <w:i w:val="1"/>
          <w:rtl w:val="0"/>
        </w:rPr>
        <w:t xml:space="preserve">Année : 2024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Lien de téléchargement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Mots clés : 5 ou 6 mots clés sur les thématiques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i w:val="1"/>
          <w:rtl w:val="0"/>
        </w:rPr>
        <w:t xml:space="preserve">En quoi ce document est une source d’inspiration pour les mobilités durables dans les QPV des Hauts-de-France ?</w:t>
      </w:r>
    </w:p>
    <w:p w:rsidR="00000000" w:rsidDel="00000000" w:rsidP="00000000" w:rsidRDefault="00000000" w:rsidRPr="00000000" w14:paraId="0000000D">
      <w:pPr>
        <w:spacing w:after="120" w:line="276" w:lineRule="auto"/>
        <w:jc w:val="both"/>
        <w:rPr>
          <w:rFonts w:ascii="Times New Roman" w:cs="Times New Roman" w:eastAsia="Times New Roman" w:hAnsi="Times New Roman"/>
          <w:b w:val="1"/>
          <w:sz w:val="25"/>
          <w:szCs w:val="25"/>
        </w:rPr>
      </w:pPr>
      <w:r w:rsidDel="00000000" w:rsidR="00000000" w:rsidRPr="00000000">
        <w:rPr>
          <w:rtl w:val="0"/>
        </w:rPr>
      </w:r>
    </w:p>
    <w:p w:rsidR="00000000" w:rsidDel="00000000" w:rsidP="00000000" w:rsidRDefault="00000000" w:rsidRPr="00000000" w14:paraId="0000000E">
      <w:pPr>
        <w:spacing w:after="120" w:line="276" w:lineRule="auto"/>
        <w:jc w:val="both"/>
        <w:rPr>
          <w:sz w:val="22"/>
          <w:szCs w:val="22"/>
        </w:rPr>
      </w:pPr>
      <w:r w:rsidDel="00000000" w:rsidR="00000000" w:rsidRPr="00000000">
        <w:rPr>
          <w:sz w:val="22"/>
          <w:szCs w:val="22"/>
          <w:rtl w:val="0"/>
        </w:rPr>
        <w:t xml:space="preserve">Le Baromètre des mobilités du quotidien (BMQ) 2023 pour les Hauts-de-France met en évidence des difficultés accrues en matière de mobilité, notamment une dépendance élevée à la voiture, un accès limité aux alternatives de transport, ainsi que des freins spécifiques au développement de la marche et du vélo dans la région.</w:t>
      </w:r>
    </w:p>
    <w:p w:rsidR="00000000" w:rsidDel="00000000" w:rsidP="00000000" w:rsidRDefault="00000000" w:rsidRPr="00000000" w14:paraId="0000000F">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120" w:line="276" w:lineRule="auto"/>
        <w:jc w:val="both"/>
        <w:rPr>
          <w:sz w:val="22"/>
          <w:szCs w:val="22"/>
        </w:rPr>
      </w:pPr>
      <w:r w:rsidDel="00000000" w:rsidR="00000000" w:rsidRPr="00000000">
        <w:rPr>
          <w:sz w:val="22"/>
          <w:szCs w:val="22"/>
          <w:rtl w:val="0"/>
        </w:rPr>
        <w:t xml:space="preserve">1. Une forte dépendance à la voiture</w:t>
      </w:r>
    </w:p>
    <w:p w:rsidR="00000000" w:rsidDel="00000000" w:rsidP="00000000" w:rsidRDefault="00000000" w:rsidRPr="00000000" w14:paraId="00000011">
      <w:pPr>
        <w:numPr>
          <w:ilvl w:val="0"/>
          <w:numId w:val="2"/>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71 % des habitants utilisent la voiture comme principal mode de déplacement, une proportion plus élevée que la moyenne nationale (68 %).</w:t>
      </w:r>
    </w:p>
    <w:p w:rsidR="00000000" w:rsidDel="00000000" w:rsidP="00000000" w:rsidRDefault="00000000" w:rsidRPr="00000000" w14:paraId="00000012">
      <w:pPr>
        <w:numPr>
          <w:ilvl w:val="0"/>
          <w:numId w:val="2"/>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alternatives à la voiture restent peu accessibles, avec des offres limitées en transports collectifs, services de vélos en libre-service et infrastructures cyclables.</w:t>
      </w:r>
    </w:p>
    <w:p w:rsidR="00000000" w:rsidDel="00000000" w:rsidP="00000000" w:rsidRDefault="00000000" w:rsidRPr="00000000" w14:paraId="00000013">
      <w:pPr>
        <w:numPr>
          <w:ilvl w:val="0"/>
          <w:numId w:val="2"/>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En cas de hausse des prix du carburant, une majorité des habitants maintiendrait leurs pratiques, reflétant une faible capacité à se tourner vers des modes alternatifs.</w:t>
      </w:r>
    </w:p>
    <w:p w:rsidR="00000000" w:rsidDel="00000000" w:rsidP="00000000" w:rsidRDefault="00000000" w:rsidRPr="00000000" w14:paraId="00000014">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120" w:line="276" w:lineRule="auto"/>
        <w:jc w:val="both"/>
        <w:rPr>
          <w:sz w:val="22"/>
          <w:szCs w:val="22"/>
        </w:rPr>
      </w:pPr>
      <w:r w:rsidDel="00000000" w:rsidR="00000000" w:rsidRPr="00000000">
        <w:rPr>
          <w:sz w:val="22"/>
          <w:szCs w:val="22"/>
          <w:rtl w:val="0"/>
        </w:rPr>
        <w:t xml:space="preserve">2. Une faible place pour la marche</w:t>
      </w:r>
    </w:p>
    <w:p w:rsidR="00000000" w:rsidDel="00000000" w:rsidP="00000000" w:rsidRDefault="00000000" w:rsidRPr="00000000" w14:paraId="00000016">
      <w:pPr>
        <w:numPr>
          <w:ilvl w:val="0"/>
          <w:numId w:val="4"/>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La marche comme mode de déplacement est sous-exploitée dans les Hauts-de-France, malgré son potentiel pour des trajets courts.</w:t>
      </w:r>
    </w:p>
    <w:p w:rsidR="00000000" w:rsidDel="00000000" w:rsidP="00000000" w:rsidRDefault="00000000" w:rsidRPr="00000000" w14:paraId="00000017">
      <w:pPr>
        <w:numPr>
          <w:ilvl w:val="0"/>
          <w:numId w:val="4"/>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motivations liées à la marche (maintien en forme, réduction des dépenses) sont moins objectivées que dans d’autres régions.</w:t>
      </w:r>
    </w:p>
    <w:p w:rsidR="00000000" w:rsidDel="00000000" w:rsidP="00000000" w:rsidRDefault="00000000" w:rsidRPr="00000000" w14:paraId="00000018">
      <w:pPr>
        <w:numPr>
          <w:ilvl w:val="0"/>
          <w:numId w:val="4"/>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conditions pour favoriser la marche restent insuffisantes, notamment dans les territoires périurbains et ruraux, où les infrastructures piétonnes sont limitées.</w:t>
      </w:r>
    </w:p>
    <w:p w:rsidR="00000000" w:rsidDel="00000000" w:rsidP="00000000" w:rsidRDefault="00000000" w:rsidRPr="00000000" w14:paraId="00000019">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120" w:line="276" w:lineRule="auto"/>
        <w:jc w:val="both"/>
        <w:rPr>
          <w:sz w:val="22"/>
          <w:szCs w:val="22"/>
        </w:rPr>
      </w:pPr>
      <w:r w:rsidDel="00000000" w:rsidR="00000000" w:rsidRPr="00000000">
        <w:rPr>
          <w:sz w:val="22"/>
          <w:szCs w:val="22"/>
          <w:rtl w:val="0"/>
        </w:rPr>
        <w:t xml:space="preserve">3. Un usage encore limité du vélo</w:t>
      </w:r>
    </w:p>
    <w:p w:rsidR="00000000" w:rsidDel="00000000" w:rsidP="00000000" w:rsidRDefault="00000000" w:rsidRPr="00000000" w14:paraId="0000001B">
      <w:pPr>
        <w:numPr>
          <w:ilvl w:val="0"/>
          <w:numId w:val="5"/>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La part des vélos comme mode principal ou secondaire est faible, en raison d’un manque d’infrastructures adaptées et d’une offre limitée de services (vélos en libre-service, garages sécurisés).</w:t>
      </w:r>
    </w:p>
    <w:p w:rsidR="00000000" w:rsidDel="00000000" w:rsidP="00000000" w:rsidRDefault="00000000" w:rsidRPr="00000000" w14:paraId="0000001C">
      <w:pPr>
        <w:numPr>
          <w:ilvl w:val="0"/>
          <w:numId w:val="5"/>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habitants des Hauts-de-France déclarent une moins grande proximité aux services liés au vélo par rapport à la moyenne nationale.</w:t>
      </w:r>
    </w:p>
    <w:p w:rsidR="00000000" w:rsidDel="00000000" w:rsidP="00000000" w:rsidRDefault="00000000" w:rsidRPr="00000000" w14:paraId="0000001D">
      <w:pPr>
        <w:numPr>
          <w:ilvl w:val="0"/>
          <w:numId w:val="5"/>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freins culturels et pratiques persistent : absence d’aménagements sécurisés, manque de sensibilisation, et faible intégration du vélo dans les habitudes de déplacement.</w:t>
      </w:r>
    </w:p>
    <w:p w:rsidR="00000000" w:rsidDel="00000000" w:rsidP="00000000" w:rsidRDefault="00000000" w:rsidRPr="00000000" w14:paraId="0000001E">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120" w:line="276" w:lineRule="auto"/>
        <w:jc w:val="both"/>
        <w:rPr>
          <w:sz w:val="22"/>
          <w:szCs w:val="22"/>
        </w:rPr>
      </w:pPr>
      <w:r w:rsidDel="00000000" w:rsidR="00000000" w:rsidRPr="00000000">
        <w:rPr>
          <w:sz w:val="22"/>
          <w:szCs w:val="22"/>
          <w:rtl w:val="0"/>
        </w:rPr>
        <w:t xml:space="preserve">4. Des alternatives limitées à la voiture</w:t>
      </w:r>
    </w:p>
    <w:p w:rsidR="00000000" w:rsidDel="00000000" w:rsidP="00000000" w:rsidRDefault="00000000" w:rsidRPr="00000000" w14:paraId="00000020">
      <w:pPr>
        <w:numPr>
          <w:ilvl w:val="0"/>
          <w:numId w:val="1"/>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49 % des habitants indiquent avoir la possibilité de choisir entre plusieurs modes de transport, contre 55 % au niveau national.</w:t>
      </w:r>
    </w:p>
    <w:p w:rsidR="00000000" w:rsidDel="00000000" w:rsidP="00000000" w:rsidRDefault="00000000" w:rsidRPr="00000000" w14:paraId="00000021">
      <w:pPr>
        <w:numPr>
          <w:ilvl w:val="0"/>
          <w:numId w:val="1"/>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offres de transports collectifs (urbains et interurbains) sont perçues comme moins pratiques, confortables et sécurisées, ce qui limite leur attractivité.</w:t>
      </w:r>
    </w:p>
    <w:p w:rsidR="00000000" w:rsidDel="00000000" w:rsidP="00000000" w:rsidRDefault="00000000" w:rsidRPr="00000000" w14:paraId="00000022">
      <w:pPr>
        <w:numPr>
          <w:ilvl w:val="0"/>
          <w:numId w:val="1"/>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territoires ruraux et périurbains présentent des déficits d’intermodalité, rendant difficile la combinaison de la marche, du vélo et des transports en commun.</w:t>
      </w:r>
    </w:p>
    <w:p w:rsidR="00000000" w:rsidDel="00000000" w:rsidP="00000000" w:rsidRDefault="00000000" w:rsidRPr="00000000" w14:paraId="00000023">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120" w:line="276" w:lineRule="auto"/>
        <w:jc w:val="both"/>
        <w:rPr>
          <w:sz w:val="22"/>
          <w:szCs w:val="22"/>
        </w:rPr>
      </w:pPr>
      <w:r w:rsidDel="00000000" w:rsidR="00000000" w:rsidRPr="00000000">
        <w:rPr>
          <w:sz w:val="22"/>
          <w:szCs w:val="22"/>
          <w:rtl w:val="0"/>
        </w:rPr>
        <w:t xml:space="preserve">5. Inégalités et précarité de mobilité</w:t>
      </w:r>
    </w:p>
    <w:p w:rsidR="00000000" w:rsidDel="00000000" w:rsidP="00000000" w:rsidRDefault="00000000" w:rsidRPr="00000000" w14:paraId="00000025">
      <w:pPr>
        <w:numPr>
          <w:ilvl w:val="0"/>
          <w:numId w:val="3"/>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23 % de la population est en situation de vulnérabilité de mobilité (contre 21 % au niveau national).</w:t>
      </w:r>
    </w:p>
    <w:p w:rsidR="00000000" w:rsidDel="00000000" w:rsidP="00000000" w:rsidRDefault="00000000" w:rsidRPr="00000000" w14:paraId="00000026">
      <w:pPr>
        <w:numPr>
          <w:ilvl w:val="0"/>
          <w:numId w:val="3"/>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ménages à bas revenus ou résidant dans des communes isolées sont les plus touchés par un manque d’alternatives à la voiture.</w:t>
      </w:r>
    </w:p>
    <w:p w:rsidR="00000000" w:rsidDel="00000000" w:rsidP="00000000" w:rsidRDefault="00000000" w:rsidRPr="00000000" w14:paraId="00000027">
      <w:pPr>
        <w:numPr>
          <w:ilvl w:val="0"/>
          <w:numId w:val="3"/>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Les difficultés d’accès aux aides financières pour des vélos ou des véhicules propres ajoutent aux obstacles pour une transition vers des mobilités actives et durables.</w:t>
      </w:r>
    </w:p>
    <w:p w:rsidR="00000000" w:rsidDel="00000000" w:rsidP="00000000" w:rsidRDefault="00000000" w:rsidRPr="00000000" w14:paraId="00000028">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120" w:line="276" w:lineRule="auto"/>
        <w:jc w:val="both"/>
        <w:rPr>
          <w:sz w:val="22"/>
          <w:szCs w:val="22"/>
        </w:rPr>
      </w:pPr>
      <w:r w:rsidDel="00000000" w:rsidR="00000000" w:rsidRPr="00000000">
        <w:rPr>
          <w:sz w:val="22"/>
          <w:szCs w:val="22"/>
          <w:rtl w:val="0"/>
        </w:rPr>
        <w:t xml:space="preserve">6. Recommandations implicites pour la marche et le vélo</w:t>
      </w:r>
    </w:p>
    <w:p w:rsidR="00000000" w:rsidDel="00000000" w:rsidP="00000000" w:rsidRDefault="00000000" w:rsidRPr="00000000" w14:paraId="0000002A">
      <w:pPr>
        <w:spacing w:after="120" w:line="276" w:lineRule="auto"/>
        <w:jc w:val="both"/>
        <w:rPr>
          <w:sz w:val="22"/>
          <w:szCs w:val="22"/>
        </w:rPr>
      </w:pPr>
      <w:r w:rsidDel="00000000" w:rsidR="00000000" w:rsidRPr="00000000">
        <w:rPr>
          <w:sz w:val="22"/>
          <w:szCs w:val="22"/>
          <w:rtl w:val="0"/>
        </w:rPr>
        <w:t xml:space="preserve">Pour répondre aux défis identifiés, des efforts doivent être orientés vers :</w:t>
      </w:r>
    </w:p>
    <w:p w:rsidR="00000000" w:rsidDel="00000000" w:rsidP="00000000" w:rsidRDefault="00000000" w:rsidRPr="00000000" w14:paraId="0000002B">
      <w:pPr>
        <w:numPr>
          <w:ilvl w:val="0"/>
          <w:numId w:val="6"/>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Améliorer les infrastructures cyclables et piétonnes pour sécuriser les trajets courts et encourager leur usage.</w:t>
      </w:r>
    </w:p>
    <w:p w:rsidR="00000000" w:rsidDel="00000000" w:rsidP="00000000" w:rsidRDefault="00000000" w:rsidRPr="00000000" w14:paraId="0000002C">
      <w:pPr>
        <w:numPr>
          <w:ilvl w:val="0"/>
          <w:numId w:val="6"/>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Faciliter l’accès aux vélos, via des services en libre-service, des aides financières simplifiées et des solutions de stationnement sécurisé.</w:t>
      </w:r>
    </w:p>
    <w:p w:rsidR="00000000" w:rsidDel="00000000" w:rsidP="00000000" w:rsidRDefault="00000000" w:rsidRPr="00000000" w14:paraId="0000002D">
      <w:pPr>
        <w:numPr>
          <w:ilvl w:val="0"/>
          <w:numId w:val="6"/>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Renforcer l’intermodalité, en intégrant la marche et le vélo aux transports collectifs (ex. : parking vélos aux gares, aménagements piétons).</w:t>
      </w:r>
    </w:p>
    <w:p w:rsidR="00000000" w:rsidDel="00000000" w:rsidP="00000000" w:rsidRDefault="00000000" w:rsidRPr="00000000" w14:paraId="0000002E">
      <w:pPr>
        <w:numPr>
          <w:ilvl w:val="0"/>
          <w:numId w:val="6"/>
        </w:numPr>
        <w:spacing w:after="120" w:line="276" w:lineRule="auto"/>
        <w:ind w:left="720" w:hanging="360"/>
        <w:jc w:val="both"/>
        <w:rPr>
          <w:rFonts w:ascii="Times New Roman" w:cs="Times New Roman" w:eastAsia="Times New Roman" w:hAnsi="Times New Roman"/>
          <w:sz w:val="18"/>
          <w:szCs w:val="18"/>
        </w:rPr>
      </w:pPr>
      <w:r w:rsidDel="00000000" w:rsidR="00000000" w:rsidRPr="00000000">
        <w:rPr>
          <w:sz w:val="22"/>
          <w:szCs w:val="22"/>
          <w:rtl w:val="0"/>
        </w:rPr>
        <w:t xml:space="preserve">Sensibiliser et promouvoir les bienfaits de la marche et du vélo, notamment en matière de santé et d’environnement.</w:t>
      </w:r>
    </w:p>
    <w:p w:rsidR="00000000" w:rsidDel="00000000" w:rsidP="00000000" w:rsidRDefault="00000000" w:rsidRPr="00000000" w14:paraId="0000002F">
      <w:pPr>
        <w:spacing w:after="120" w:line="276" w:lineRule="auto"/>
        <w:jc w:val="both"/>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120" w:line="276" w:lineRule="auto"/>
        <w:jc w:val="both"/>
        <w:rPr>
          <w:sz w:val="22"/>
          <w:szCs w:val="22"/>
        </w:rPr>
      </w:pPr>
      <w:r w:rsidDel="00000000" w:rsidR="00000000" w:rsidRPr="00000000">
        <w:rPr>
          <w:sz w:val="22"/>
          <w:szCs w:val="22"/>
          <w:rtl w:val="0"/>
        </w:rPr>
        <w:t xml:space="preserve">Conclusion</w:t>
      </w:r>
    </w:p>
    <w:p w:rsidR="00000000" w:rsidDel="00000000" w:rsidP="00000000" w:rsidRDefault="00000000" w:rsidRPr="00000000" w14:paraId="00000031">
      <w:pPr>
        <w:spacing w:after="120" w:line="276" w:lineRule="auto"/>
        <w:jc w:val="both"/>
        <w:rPr>
          <w:sz w:val="22"/>
          <w:szCs w:val="22"/>
        </w:rPr>
      </w:pPr>
      <w:r w:rsidDel="00000000" w:rsidR="00000000" w:rsidRPr="00000000">
        <w:rPr>
          <w:sz w:val="22"/>
          <w:szCs w:val="22"/>
          <w:rtl w:val="0"/>
        </w:rPr>
        <w:t xml:space="preserve">Les Hauts-de-France souffrent d’une dépendance structurelle à la voiture, mais des leviers existent pour renforcer la marche et le vélo comme alternatives viables. Une action volontariste en faveur des mobilités actives pourrait améliorer l’accessibilité, réduire les vulnérabilités et répondre aux enjeux environnementaux, tout en contribuant au développement d’une mobilité plus durable et inclusive.</w:t>
      </w: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sz w:val="24"/>
        <w:szCs w:val="24"/>
        <w:u w:val="none"/>
        <w:shd w:fill="auto" w:val="clear"/>
        <w:vertAlign w:val="baseline"/>
      </w:rPr>
    </w:pPr>
    <w:r w:rsidDel="00000000" w:rsidR="00000000" w:rsidRPr="00000000">
      <w:rPr>
        <w:b w:val="1"/>
        <w:i w:val="0"/>
        <w:smallCaps w:val="0"/>
        <w:strike w:val="0"/>
        <w:color w:val="4a86e8"/>
        <w:sz w:val="24"/>
        <w:szCs w:val="24"/>
        <w:u w:val="none"/>
        <w:shd w:fill="auto" w:val="clear"/>
        <w:vertAlign w:val="baseline"/>
        <w:rtl w:val="0"/>
      </w:rPr>
      <w:t xml:space="preserve">Recueil documentaire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b w:val="1"/>
        <w:i w:val="0"/>
        <w:smallCaps w:val="0"/>
        <w:strike w:val="0"/>
        <w:color w:val="4a86e8"/>
        <w:sz w:val="24"/>
        <w:szCs w:val="24"/>
        <w:u w:val="none"/>
        <w:shd w:fill="auto" w:val="clear"/>
        <w:vertAlign w:val="baseline"/>
      </w:rPr>
    </w:pPr>
    <w:r w:rsidDel="00000000" w:rsidR="00000000" w:rsidRPr="00000000">
      <w:rPr>
        <w:b w:val="1"/>
        <w:i w:val="0"/>
        <w:smallCaps w:val="0"/>
        <w:strike w:val="0"/>
        <w:color w:val="4a86e8"/>
        <w:sz w:val="24"/>
        <w:szCs w:val="24"/>
        <w:u w:val="none"/>
        <w:shd w:fill="auto" w:val="clear"/>
        <w:vertAlign w:val="baseline"/>
        <w:rtl w:val="0"/>
      </w:rPr>
      <w:t xml:space="preserve">Mobilités durables et partage de l’espace public dans les QPV des Hauts-de-France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F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FE383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FE383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FE383C"/>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FE383C"/>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FE383C"/>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FE383C"/>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FE383C"/>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FE383C"/>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FE383C"/>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FE383C"/>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FE383C"/>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FE383C"/>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FE383C"/>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FE383C"/>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FE383C"/>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FE383C"/>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FE383C"/>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FE383C"/>
    <w:rPr>
      <w:rFonts w:cstheme="majorBidi" w:eastAsiaTheme="majorEastAsia"/>
      <w:color w:val="272727" w:themeColor="text1" w:themeTint="0000D8"/>
    </w:rPr>
  </w:style>
  <w:style w:type="paragraph" w:styleId="Titre">
    <w:name w:val="Title"/>
    <w:basedOn w:val="Normal"/>
    <w:next w:val="Normal"/>
    <w:link w:val="TitreCar"/>
    <w:uiPriority w:val="10"/>
    <w:qFormat w:val="1"/>
    <w:rsid w:val="00FE383C"/>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FE383C"/>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FE383C"/>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FE383C"/>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FE383C"/>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FE383C"/>
    <w:rPr>
      <w:i w:val="1"/>
      <w:iCs w:val="1"/>
      <w:color w:val="404040" w:themeColor="text1" w:themeTint="0000BF"/>
    </w:rPr>
  </w:style>
  <w:style w:type="paragraph" w:styleId="Paragraphedeliste">
    <w:name w:val="List Paragraph"/>
    <w:basedOn w:val="Normal"/>
    <w:uiPriority w:val="34"/>
    <w:qFormat w:val="1"/>
    <w:rsid w:val="00FE383C"/>
    <w:pPr>
      <w:ind w:left="720"/>
      <w:contextualSpacing w:val="1"/>
    </w:pPr>
  </w:style>
  <w:style w:type="character" w:styleId="Accentuationintense">
    <w:name w:val="Intense Emphasis"/>
    <w:basedOn w:val="Policepardfaut"/>
    <w:uiPriority w:val="21"/>
    <w:qFormat w:val="1"/>
    <w:rsid w:val="00FE383C"/>
    <w:rPr>
      <w:i w:val="1"/>
      <w:iCs w:val="1"/>
      <w:color w:val="0f4761" w:themeColor="accent1" w:themeShade="0000BF"/>
    </w:rPr>
  </w:style>
  <w:style w:type="paragraph" w:styleId="Citationintense">
    <w:name w:val="Intense Quote"/>
    <w:basedOn w:val="Normal"/>
    <w:next w:val="Normal"/>
    <w:link w:val="CitationintenseCar"/>
    <w:uiPriority w:val="30"/>
    <w:qFormat w:val="1"/>
    <w:rsid w:val="00FE38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FE383C"/>
    <w:rPr>
      <w:i w:val="1"/>
      <w:iCs w:val="1"/>
      <w:color w:val="0f4761" w:themeColor="accent1" w:themeShade="0000BF"/>
    </w:rPr>
  </w:style>
  <w:style w:type="character" w:styleId="Rfrenceintense">
    <w:name w:val="Intense Reference"/>
    <w:basedOn w:val="Policepardfaut"/>
    <w:uiPriority w:val="32"/>
    <w:qFormat w:val="1"/>
    <w:rsid w:val="00FE383C"/>
    <w:rPr>
      <w:b w:val="1"/>
      <w:bCs w:val="1"/>
      <w:smallCaps w:val="1"/>
      <w:color w:val="0f4761" w:themeColor="accent1" w:themeShade="0000BF"/>
      <w:spacing w:val="5"/>
    </w:rPr>
  </w:style>
  <w:style w:type="paragraph" w:styleId="En-tte">
    <w:name w:val="header"/>
    <w:basedOn w:val="Normal"/>
    <w:link w:val="En-tteCar"/>
    <w:uiPriority w:val="99"/>
    <w:unhideWhenUsed w:val="1"/>
    <w:rsid w:val="00FE383C"/>
    <w:pPr>
      <w:tabs>
        <w:tab w:val="center" w:pos="4536"/>
        <w:tab w:val="right" w:pos="9072"/>
      </w:tabs>
      <w:spacing w:after="0" w:line="240" w:lineRule="auto"/>
    </w:pPr>
  </w:style>
  <w:style w:type="character" w:styleId="En-tteCar" w:customStyle="1">
    <w:name w:val="En-tête Car"/>
    <w:basedOn w:val="Policepardfaut"/>
    <w:link w:val="En-tte"/>
    <w:uiPriority w:val="99"/>
    <w:rsid w:val="00FE383C"/>
  </w:style>
  <w:style w:type="paragraph" w:styleId="Pieddepage">
    <w:name w:val="footer"/>
    <w:basedOn w:val="Normal"/>
    <w:link w:val="PieddepageCar"/>
    <w:uiPriority w:val="99"/>
    <w:unhideWhenUsed w:val="1"/>
    <w:rsid w:val="00FE383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FE383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bxprE/Vr7lK7xXdj2ikStqvPQ==">CgMxLjA4AHIhMTBTU2xGTEhkYnVlZl9MUGtMMUhCcUdnaDVIWXI0NDFI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2025-01-22T08:32:00Z</dcterms:created>
  <dc:creator>Pierre-Edouard Martin</dc:creator>
</cp:coreProperties>
</file>